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黑体" w:eastAsia="黑体" w:cs="黑体"/>
          <w:sz w:val="36"/>
          <w:szCs w:val="36"/>
        </w:rPr>
      </w:pPr>
      <w:r>
        <w:rPr>
          <w:rFonts w:hint="eastAsia" w:ascii="黑体" w:hAnsi="黑体" w:eastAsia="黑体"/>
          <w:sz w:val="36"/>
          <w:szCs w:val="36"/>
          <w:u w:val="single"/>
        </w:rPr>
        <w:t>西工区</w:t>
      </w:r>
      <w:r>
        <w:rPr>
          <w:rFonts w:hint="eastAsia" w:ascii="黑体" w:hAnsi="黑体" w:eastAsia="黑体"/>
          <w:sz w:val="36"/>
          <w:szCs w:val="36"/>
          <w:u w:val="single"/>
          <w:lang w:val="en-US" w:eastAsia="zh-CN"/>
        </w:rPr>
        <w:t>人力资源和社会保障局</w:t>
      </w:r>
      <w:r>
        <w:rPr>
          <w:rFonts w:ascii="黑体" w:eastAsia="黑体" w:cs="黑体"/>
          <w:sz w:val="36"/>
          <w:szCs w:val="36"/>
        </w:rPr>
        <w:t>201</w:t>
      </w:r>
      <w:r>
        <w:rPr>
          <w:rFonts w:hint="eastAsia" w:ascii="黑体" w:eastAsia="黑体" w:cs="黑体"/>
          <w:sz w:val="36"/>
          <w:szCs w:val="36"/>
          <w:lang w:val="en-US" w:eastAsia="zh-CN"/>
        </w:rPr>
        <w:t>7</w:t>
      </w:r>
      <w:r>
        <w:rPr>
          <w:rFonts w:hint="eastAsia" w:ascii="黑体" w:eastAsia="黑体" w:cs="黑体"/>
          <w:sz w:val="36"/>
          <w:szCs w:val="36"/>
        </w:rPr>
        <w:t>年度部门决算</w:t>
      </w:r>
    </w:p>
    <w:p>
      <w:pPr>
        <w:adjustRightInd w:val="0"/>
        <w:snapToGrid w:val="0"/>
        <w:spacing w:line="360" w:lineRule="auto"/>
        <w:jc w:val="center"/>
        <w:rPr>
          <w:rFonts w:hint="eastAsia" w:ascii="黑体" w:hAnsi="黑体" w:eastAsia="黑体"/>
          <w:sz w:val="28"/>
          <w:szCs w:val="28"/>
        </w:rPr>
      </w:pPr>
      <w:r>
        <w:rPr>
          <w:rFonts w:hint="eastAsia" w:ascii="黑体" w:eastAsia="黑体" w:cs="黑体"/>
          <w:sz w:val="36"/>
          <w:szCs w:val="36"/>
        </w:rPr>
        <w:t>情况说明</w:t>
      </w:r>
    </w:p>
    <w:p>
      <w:pPr>
        <w:keepNext w:val="0"/>
        <w:keepLines w:val="0"/>
        <w:pageBreakBefore w:val="0"/>
        <w:widowControl w:val="0"/>
        <w:wordWrap/>
        <w:topLinePunct w:val="0"/>
        <w:bidi w:val="0"/>
        <w:adjustRightInd w:val="0"/>
        <w:snapToGrid w:val="0"/>
        <w:spacing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一、主要职责</w:t>
      </w:r>
    </w:p>
    <w:p>
      <w:pPr>
        <w:keepNext w:val="0"/>
        <w:keepLines w:val="0"/>
        <w:pageBreakBefore w:val="0"/>
        <w:widowControl w:val="0"/>
        <w:wordWrap/>
        <w:topLinePunct w:val="0"/>
        <w:bidi w:val="0"/>
        <w:spacing w:line="600" w:lineRule="exact"/>
        <w:ind w:firstLine="640" w:firstLineChars="200"/>
        <w:textAlignment w:val="auto"/>
        <w:rPr>
          <w:rFonts w:hint="eastAsia" w:ascii="仿宋_GB2312" w:eastAsia="仿宋_GB2312"/>
          <w:sz w:val="32"/>
          <w:szCs w:val="32"/>
        </w:rPr>
      </w:pPr>
      <w:r>
        <w:rPr>
          <w:rFonts w:hint="eastAsia" w:ascii="仿宋_GB2312" w:hAnsi="仿宋_GB2312" w:eastAsia="仿宋_GB2312" w:cs="仿宋_GB2312"/>
          <w:sz w:val="32"/>
          <w:szCs w:val="32"/>
        </w:rPr>
        <w:t>西工区人力资源和社会保障局内设6个部门（</w:t>
      </w:r>
      <w:r>
        <w:rPr>
          <w:rFonts w:hint="eastAsia" w:ascii="仿宋_GB2312" w:hAnsi="仿宋_GB2312" w:eastAsia="仿宋_GB2312" w:cs="仿宋_GB2312"/>
          <w:sz w:val="32"/>
          <w:szCs w:val="32"/>
          <w:lang w:val="en-US" w:eastAsia="zh-CN"/>
        </w:rPr>
        <w:t>股</w:t>
      </w:r>
      <w:r>
        <w:rPr>
          <w:rFonts w:hint="eastAsia" w:ascii="仿宋_GB2312" w:hAnsi="仿宋_GB2312" w:eastAsia="仿宋_GB2312" w:cs="仿宋_GB2312"/>
          <w:sz w:val="32"/>
          <w:szCs w:val="32"/>
        </w:rPr>
        <w:t>室）</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即：办公室（信访股）；人力资源股；劳动保障股；劳动保障监察股；劳动人事争议仲裁委员会办公室；公务员管理办公室。</w:t>
      </w:r>
      <w:r>
        <w:rPr>
          <w:rFonts w:hint="eastAsia" w:ascii="仿宋_GB2312" w:eastAsia="仿宋_GB2312"/>
          <w:sz w:val="32"/>
          <w:szCs w:val="32"/>
          <w:lang w:val="en-US" w:eastAsia="zh-CN"/>
        </w:rPr>
        <w:t>2</w:t>
      </w:r>
      <w:r>
        <w:rPr>
          <w:rFonts w:hint="eastAsia" w:ascii="仿宋_GB2312" w:eastAsia="仿宋_GB2312"/>
          <w:sz w:val="32"/>
          <w:szCs w:val="32"/>
          <w:lang w:eastAsia="zh-CN"/>
        </w:rPr>
        <w:t>个归口预算单位。</w:t>
      </w:r>
      <w:r>
        <w:rPr>
          <w:rFonts w:hint="eastAsia" w:ascii="仿宋_GB2312" w:eastAsia="仿宋_GB2312"/>
          <w:sz w:val="32"/>
          <w:szCs w:val="32"/>
        </w:rPr>
        <w:t>主要职责是</w:t>
      </w:r>
      <w:r>
        <w:rPr>
          <w:rFonts w:hint="eastAsia" w:ascii="仿宋_GB2312" w:eastAsia="仿宋_GB2312"/>
          <w:sz w:val="32"/>
          <w:szCs w:val="32"/>
          <w:lang w:eastAsia="zh-CN"/>
        </w:rPr>
        <w:t>：</w:t>
      </w:r>
      <w:r>
        <w:rPr>
          <w:rFonts w:hint="eastAsia" w:ascii="仿宋_GB2312" w:hAnsi="仿宋_GB2312" w:eastAsia="仿宋_GB2312" w:cs="仿宋_GB2312"/>
          <w:sz w:val="32"/>
          <w:szCs w:val="32"/>
        </w:rPr>
        <w:t>贯彻执行国家、省、市人力资源和社会保障法律、法规、政策；拟定区人力资源和社会保障事业发展规划、意见，并组织实施和监督检查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拟定区机关、事业单位工作人员的总体规划和结构调整的意见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编制区机关、事业单位人员计划和工资计划，管理</w:t>
      </w:r>
      <w:r>
        <w:rPr>
          <w:rFonts w:hint="eastAsia" w:ascii="仿宋_GB2312" w:hAnsi="仿宋_GB2312" w:eastAsia="仿宋_GB2312" w:cs="仿宋_GB2312"/>
          <w:sz w:val="32"/>
          <w:szCs w:val="32"/>
          <w:lang w:val="en-US" w:eastAsia="zh-CN"/>
        </w:rPr>
        <w:t>机关、事业单位工资总额和工资基金，负责全区人力资源和社会保障统计及信息工作，建立完善统一的人力资源和社会保障信息网络和信息服务系统；拟定全区人力资源市场发展规划，建立统一规范的人力资源市场，综合管理区人才中介机构、区域性人才交流和区面向社会的人才交流活动，促进人力资源合理流动、有效配置；负责全区促进就业工作，拟定全区统筹城乡的就业发展规划和意见，完善公共就业服务体系和公共创业服务体系，建立健全就业援助制度，完善职业资格制度，统筹建立面向城乡劳动者的职业培训制度；统筹建立覆盖全区城乡的社会保障体系。认真执行市城乡社会保险及其不愁保险政策和标准，根据省市有关规定认真执行全市统一的社会保险关系转续办法、机关企事业单位基本养老保险政策、社会保险及其补充保险基金管理和监督制度；贯彻执行省市机关、事业单位人员工资收入分配政策，建立和完善区机关企事业单位人员工资正常增长和支付保障机制及各类津贴、补贴制度，认真执行市机关企事业单位人员福利和离退休政策，对区属企业职工工资宏观调控措施实施监督，按照企业工资指导线，发布劳动力市场工资指导价位；指导区事业单位人事制度改革，贯彻执行区事业单位人员和机关工勤人员管理、专业技术人员管理和继续教育政策，负责全区职称制度改革和高层次专业技术人才选拔和培育工作；贯彻国家军队转业干部安置政策，会同有关部门做好企业军转干部解困政策的落实和稳定工作；负责全区行政机关公务员综合管理，贯彻执行市调配政策和特殊人员安置政策，会同有关部门组织落实国家荣誉制度，拟定区政府奖励制度；贯彻执行市农民工工作综合性政策和规划，推动农民工相关政策的落实，协调解决重点难点问题，维护农民工合法权益；负责全区新型农村合作医疗的政策制定、组织实施、运行监管、技术指导、总体评价和信息化建设等工作；贯彻执行省劳动、人事争议调解仲裁制度和劳动关系政策，完善劳动关系协调机制，监督并实施国家特殊劳动保护政策，组织实施劳动保障监察，协调劳动者维权工作，依法查处重大案件；负责区人力资源和社会保障工作的指导、监督检查和协调，负责人力资源和社会保障系统宣传、科研和信息工作，负责受理群众有关人力资源和社会保障方面的诉求信访事项，做好已取消和下放行政审批事项的服务和监管工作；负责本部门及所属事业单位网上名称管理工作；负责本部门、本系统突发公共事件的应急管理工作，贯彻落实突发公共事件应急预案，预防和处置本部门、本系统的突发公共事件；负责本部门、本系统信访稳定、安全、计划生育工作；承办区委、区政府和上级有关部门交办的其他事项。</w:t>
      </w:r>
    </w:p>
    <w:p>
      <w:pPr>
        <w:pStyle w:val="2"/>
        <w:keepNext w:val="0"/>
        <w:keepLines w:val="0"/>
        <w:pageBreakBefore w:val="0"/>
        <w:widowControl w:val="0"/>
        <w:kinsoku w:val="0"/>
        <w:wordWrap/>
        <w:overflowPunct w:val="0"/>
        <w:topLinePunct w:val="0"/>
        <w:autoSpaceDE w:val="0"/>
        <w:autoSpaceDN w:val="0"/>
        <w:bidi w:val="0"/>
        <w:adjustRightInd w:val="0"/>
        <w:snapToGrid w:val="0"/>
        <w:spacing w:line="600" w:lineRule="exact"/>
        <w:ind w:left="0" w:leftChars="0" w:right="119" w:rightChars="0" w:firstLine="640" w:firstLineChars="200"/>
        <w:jc w:val="left"/>
        <w:textAlignment w:val="auto"/>
        <w:outlineLvl w:val="9"/>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rPr>
        <w:t>、部门决算收支增减变化说明</w:t>
      </w:r>
    </w:p>
    <w:p>
      <w:pPr>
        <w:keepNext w:val="0"/>
        <w:keepLines w:val="0"/>
        <w:pageBreakBefore w:val="0"/>
        <w:widowControl w:val="0"/>
        <w:wordWrap/>
        <w:topLinePunct w:val="0"/>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1、收入支出决算总体情况说明</w:t>
      </w:r>
    </w:p>
    <w:p>
      <w:pPr>
        <w:adjustRightInd w:val="0"/>
        <w:snapToGrid w:val="0"/>
        <w:spacing w:line="360" w:lineRule="auto"/>
        <w:ind w:firstLine="640" w:firstLineChars="200"/>
        <w:rPr>
          <w:rFonts w:hint="eastAsia" w:ascii="仿宋_GB2312" w:hAnsi="仿宋_GB2312" w:eastAsia="仿宋_GB2312" w:cs="仿宋_GB2312"/>
          <w:sz w:val="32"/>
          <w:szCs w:val="32"/>
        </w:rPr>
      </w:pPr>
      <w:r>
        <w:rPr>
          <w:rFonts w:hint="eastAsia" w:ascii="黑体" w:hAnsi="黑体" w:eastAsia="黑体"/>
          <w:sz w:val="32"/>
          <w:szCs w:val="32"/>
          <w:u w:val="single"/>
        </w:rPr>
        <w:t xml:space="preserve">  </w:t>
      </w:r>
      <w:r>
        <w:rPr>
          <w:rFonts w:hint="eastAsia" w:ascii="黑体" w:hAnsi="黑体" w:eastAsia="黑体"/>
          <w:sz w:val="32"/>
          <w:szCs w:val="32"/>
          <w:u w:val="single"/>
          <w:lang w:eastAsia="zh-CN"/>
        </w:rPr>
        <w:t>西工区人力资源和社会保障局</w:t>
      </w:r>
      <w:r>
        <w:rPr>
          <w:rFonts w:hint="eastAsia" w:ascii="宋体" w:hAnsi="宋体" w:cs="宋体"/>
          <w:sz w:val="32"/>
          <w:szCs w:val="32"/>
          <w:u w:val="single"/>
        </w:rPr>
        <w:t xml:space="preserve">  </w:t>
      </w:r>
      <w:r>
        <w:rPr>
          <w:rFonts w:hint="eastAsia" w:ascii="黑体" w:hAnsi="黑体" w:eastAsia="黑体"/>
          <w:sz w:val="32"/>
          <w:szCs w:val="32"/>
          <w:u w:val="single"/>
        </w:rPr>
        <w:t xml:space="preserve">  </w:t>
      </w:r>
      <w:r>
        <w:rPr>
          <w:rFonts w:hint="eastAsia" w:ascii="仿宋_GB2312" w:hAnsi="仿宋_GB2312" w:eastAsia="仿宋_GB2312" w:cs="仿宋_GB2312"/>
          <w:sz w:val="32"/>
          <w:szCs w:val="32"/>
        </w:rPr>
        <w:t>201</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年收入总计</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321.78</w:t>
      </w:r>
      <w:r>
        <w:rPr>
          <w:rFonts w:hint="eastAsia" w:ascii="仿宋_GB2312" w:hAnsi="仿宋_GB2312" w:eastAsia="仿宋_GB2312" w:cs="仿宋_GB2312"/>
          <w:sz w:val="32"/>
          <w:szCs w:val="32"/>
        </w:rPr>
        <w:t>万元，同比</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color w:val="0000FF"/>
          <w:sz w:val="32"/>
          <w:szCs w:val="32"/>
          <w:u w:val="single"/>
        </w:rPr>
        <w:t xml:space="preserve"> </w:t>
      </w:r>
      <w:r>
        <w:rPr>
          <w:rFonts w:hint="eastAsia" w:ascii="仿宋_GB2312" w:hAnsi="仿宋_GB2312" w:eastAsia="仿宋_GB2312" w:cs="仿宋_GB2312"/>
          <w:color w:val="auto"/>
          <w:sz w:val="32"/>
          <w:szCs w:val="32"/>
          <w:u w:val="single"/>
          <w:lang w:val="en-US" w:eastAsia="zh-CN"/>
        </w:rPr>
        <w:t>65.08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20 </w:t>
      </w:r>
      <w:r>
        <w:rPr>
          <w:rFonts w:hint="eastAsia" w:ascii="仿宋_GB2312" w:hAnsi="仿宋_GB2312" w:eastAsia="仿宋_GB2312" w:cs="仿宋_GB2312"/>
          <w:sz w:val="32"/>
          <w:szCs w:val="32"/>
        </w:rPr>
        <w:t>%，支出总计</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318.07</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万元，同比</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70.33</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22</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xml:space="preserve"> %。主要原因为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工资结构改变，人员工资上涨</w:t>
      </w:r>
      <w:r>
        <w:rPr>
          <w:rFonts w:hint="eastAsia" w:ascii="仿宋_GB2312" w:hAnsi="仿宋_GB2312" w:eastAsia="仿宋_GB2312" w:cs="仿宋_GB2312"/>
          <w:sz w:val="32"/>
          <w:szCs w:val="32"/>
          <w:u w:val="single"/>
        </w:rPr>
        <w:t xml:space="preserve"> 。</w:t>
      </w:r>
    </w:p>
    <w:p>
      <w:pPr>
        <w:adjustRightInd w:val="0"/>
        <w:snapToGrid w:val="0"/>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2、收入决算情况说明</w:t>
      </w:r>
    </w:p>
    <w:p>
      <w:pPr>
        <w:adjustRightInd w:val="0"/>
        <w:snapToGrid w:val="0"/>
        <w:spacing w:line="360" w:lineRule="auto"/>
        <w:ind w:firstLine="640" w:firstLineChars="200"/>
        <w:rPr>
          <w:rFonts w:hint="eastAsia" w:ascii="仿宋_GB2312" w:hAnsi="仿宋_GB2312" w:eastAsia="仿宋_GB2312" w:cs="仿宋_GB2312"/>
          <w:sz w:val="32"/>
          <w:szCs w:val="32"/>
        </w:rPr>
      </w:pPr>
      <w:r>
        <w:rPr>
          <w:rFonts w:hint="eastAsia" w:ascii="黑体" w:hAnsi="黑体" w:eastAsia="黑体"/>
          <w:sz w:val="32"/>
          <w:szCs w:val="32"/>
          <w:u w:val="single"/>
          <w:lang w:eastAsia="zh-CN"/>
        </w:rPr>
        <w:t>西工区人力资源和社会保障局</w:t>
      </w:r>
      <w:r>
        <w:rPr>
          <w:rFonts w:hint="eastAsia" w:ascii="宋体" w:hAnsi="宋体" w:cs="宋体"/>
          <w:sz w:val="32"/>
          <w:szCs w:val="32"/>
          <w:u w:val="single"/>
        </w:rPr>
        <w:t xml:space="preserve"> </w:t>
      </w:r>
      <w:r>
        <w:rPr>
          <w:rFonts w:hint="eastAsia" w:ascii="黑体" w:hAnsi="黑体" w:eastAsia="黑体"/>
          <w:sz w:val="32"/>
          <w:szCs w:val="32"/>
          <w:u w:val="single"/>
        </w:rPr>
        <w:t xml:space="preserve"> </w:t>
      </w:r>
      <w:r>
        <w:rPr>
          <w:rFonts w:hint="eastAsia" w:ascii="仿宋_GB2312" w:hAnsi="仿宋_GB2312" w:eastAsia="仿宋_GB2312" w:cs="仿宋_GB2312"/>
          <w:sz w:val="32"/>
          <w:szCs w:val="32"/>
        </w:rPr>
        <w:t>本年收入合计</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321.78</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321.78</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u w:val="single"/>
        </w:rPr>
        <w:t xml:space="preserve">    100   </w:t>
      </w:r>
      <w:r>
        <w:rPr>
          <w:rFonts w:hint="eastAsia" w:ascii="仿宋_GB2312" w:hAnsi="仿宋_GB2312" w:eastAsia="仿宋_GB2312" w:cs="仿宋_GB2312"/>
          <w:sz w:val="32"/>
          <w:szCs w:val="32"/>
        </w:rPr>
        <w:t xml:space="preserve"> %；事业收入</w:t>
      </w:r>
      <w:r>
        <w:rPr>
          <w:rFonts w:hint="eastAsia" w:ascii="仿宋_GB2312" w:hAnsi="仿宋_GB2312" w:eastAsia="仿宋_GB2312" w:cs="仿宋_GB2312"/>
          <w:sz w:val="32"/>
          <w:szCs w:val="32"/>
          <w:u w:val="single"/>
        </w:rPr>
        <w:t xml:space="preserve">    0   </w:t>
      </w:r>
      <w:r>
        <w:rPr>
          <w:rFonts w:hint="eastAsia" w:ascii="仿宋_GB2312" w:hAnsi="仿宋_GB2312" w:eastAsia="仿宋_GB2312" w:cs="仿宋_GB2312"/>
          <w:sz w:val="32"/>
          <w:szCs w:val="32"/>
        </w:rPr>
        <w:t>万元；经营收入</w:t>
      </w:r>
      <w:r>
        <w:rPr>
          <w:rFonts w:hint="eastAsia" w:ascii="仿宋_GB2312" w:hAnsi="仿宋_GB2312" w:eastAsia="仿宋_GB2312" w:cs="仿宋_GB2312"/>
          <w:sz w:val="32"/>
          <w:szCs w:val="32"/>
          <w:u w:val="single"/>
        </w:rPr>
        <w:t xml:space="preserve">   0    </w:t>
      </w:r>
      <w:r>
        <w:rPr>
          <w:rFonts w:hint="eastAsia" w:ascii="仿宋_GB2312" w:hAnsi="仿宋_GB2312" w:eastAsia="仿宋_GB2312" w:cs="仿宋_GB2312"/>
          <w:sz w:val="32"/>
          <w:szCs w:val="32"/>
        </w:rPr>
        <w:t>万元；其他收入</w:t>
      </w:r>
      <w:r>
        <w:rPr>
          <w:rFonts w:hint="eastAsia" w:ascii="仿宋_GB2312" w:hAnsi="仿宋_GB2312" w:eastAsia="仿宋_GB2312" w:cs="仿宋_GB2312"/>
          <w:sz w:val="32"/>
          <w:szCs w:val="32"/>
          <w:u w:val="single"/>
        </w:rPr>
        <w:t xml:space="preserve">    0   </w:t>
      </w:r>
      <w:r>
        <w:rPr>
          <w:rFonts w:hint="eastAsia" w:ascii="仿宋_GB2312" w:hAnsi="仿宋_GB2312" w:eastAsia="仿宋_GB2312" w:cs="仿宋_GB2312"/>
          <w:sz w:val="32"/>
          <w:szCs w:val="32"/>
        </w:rPr>
        <w:t>万元。</w:t>
      </w:r>
    </w:p>
    <w:p>
      <w:pPr>
        <w:adjustRightInd w:val="0"/>
        <w:snapToGrid w:val="0"/>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3、支出决算情况说明</w:t>
      </w:r>
    </w:p>
    <w:p>
      <w:pPr>
        <w:adjustRightInd w:val="0"/>
        <w:snapToGrid w:val="0"/>
        <w:spacing w:line="360" w:lineRule="auto"/>
        <w:ind w:firstLine="640" w:firstLineChars="200"/>
        <w:rPr>
          <w:rFonts w:hint="eastAsia" w:ascii="仿宋_GB2312" w:hAnsi="仿宋_GB2312" w:eastAsia="仿宋_GB2312" w:cs="仿宋_GB2312"/>
          <w:sz w:val="32"/>
          <w:szCs w:val="32"/>
        </w:rPr>
      </w:pPr>
      <w:r>
        <w:rPr>
          <w:rFonts w:hint="eastAsia" w:ascii="黑体" w:hAnsi="黑体" w:eastAsia="黑体"/>
          <w:sz w:val="32"/>
          <w:szCs w:val="32"/>
          <w:u w:val="single"/>
          <w:lang w:eastAsia="zh-CN"/>
        </w:rPr>
        <w:t>西工区人力资源和社会保障局</w:t>
      </w:r>
      <w:r>
        <w:rPr>
          <w:rFonts w:hint="eastAsia" w:ascii="宋体" w:hAnsi="宋体" w:cs="宋体"/>
          <w:sz w:val="32"/>
          <w:szCs w:val="32"/>
          <w:u w:val="single"/>
        </w:rPr>
        <w:t xml:space="preserve"> </w:t>
      </w:r>
      <w:r>
        <w:rPr>
          <w:rFonts w:hint="eastAsia" w:ascii="黑体" w:hAnsi="黑体" w:eastAsia="黑体"/>
          <w:sz w:val="32"/>
          <w:szCs w:val="32"/>
          <w:u w:val="single"/>
        </w:rPr>
        <w:t xml:space="preserve"> </w:t>
      </w:r>
      <w:r>
        <w:rPr>
          <w:rFonts w:hint="eastAsia" w:ascii="仿宋_GB2312" w:hAnsi="仿宋_GB2312" w:eastAsia="仿宋_GB2312" w:cs="仿宋_GB2312"/>
          <w:sz w:val="32"/>
          <w:szCs w:val="32"/>
        </w:rPr>
        <w:t>本年支出合计</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318.07</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282.71</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89</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xml:space="preserve"> %；项目支出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35.36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11</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xml:space="preserve"> %；经营支出</w:t>
      </w:r>
      <w:r>
        <w:rPr>
          <w:rFonts w:hint="eastAsia" w:ascii="仿宋_GB2312" w:hAnsi="仿宋_GB2312" w:eastAsia="仿宋_GB2312" w:cs="仿宋_GB2312"/>
          <w:sz w:val="32"/>
          <w:szCs w:val="32"/>
          <w:u w:val="single"/>
        </w:rPr>
        <w:t xml:space="preserve">  0  </w:t>
      </w:r>
      <w:r>
        <w:rPr>
          <w:rFonts w:hint="eastAsia" w:ascii="仿宋_GB2312" w:hAnsi="仿宋_GB2312" w:eastAsia="仿宋_GB2312" w:cs="仿宋_GB2312"/>
          <w:sz w:val="32"/>
          <w:szCs w:val="32"/>
        </w:rPr>
        <w:t>万元。</w:t>
      </w:r>
    </w:p>
    <w:p>
      <w:pPr>
        <w:adjustRightInd w:val="0"/>
        <w:snapToGrid w:val="0"/>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4、财政拨款收入支出决算总体情况说明</w:t>
      </w:r>
    </w:p>
    <w:p>
      <w:pPr>
        <w:adjustRightInd w:val="0"/>
        <w:snapToGrid w:val="0"/>
        <w:spacing w:line="360" w:lineRule="auto"/>
        <w:ind w:firstLine="640" w:firstLineChars="200"/>
        <w:rPr>
          <w:rFonts w:hint="eastAsia" w:ascii="仿宋_GB2312" w:hAnsi="仿宋_GB2312" w:eastAsia="仿宋_GB2312" w:cs="仿宋_GB2312"/>
          <w:sz w:val="32"/>
          <w:szCs w:val="32"/>
        </w:rPr>
      </w:pPr>
      <w:r>
        <w:rPr>
          <w:rFonts w:hint="eastAsia" w:ascii="黑体" w:hAnsi="黑体" w:eastAsia="黑体"/>
          <w:sz w:val="32"/>
          <w:szCs w:val="32"/>
          <w:u w:val="single"/>
          <w:lang w:eastAsia="zh-CN"/>
        </w:rPr>
        <w:t>西工区人力资源和社会保障局</w:t>
      </w:r>
      <w:r>
        <w:rPr>
          <w:rFonts w:hint="eastAsia" w:ascii="黑体" w:hAnsi="黑体" w:eastAsia="黑体"/>
          <w:sz w:val="32"/>
          <w:szCs w:val="32"/>
          <w:u w:val="single"/>
        </w:rPr>
        <w:t xml:space="preserve">  </w:t>
      </w:r>
      <w:r>
        <w:rPr>
          <w:rFonts w:hint="eastAsia" w:ascii="仿宋_GB2312" w:hAnsi="仿宋_GB2312" w:eastAsia="仿宋_GB2312" w:cs="仿宋_GB2312"/>
          <w:sz w:val="32"/>
          <w:szCs w:val="32"/>
        </w:rPr>
        <w:t>201</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年财政拨款收入总决算</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321.78</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万元，支出总决算</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318.07</w:t>
      </w:r>
      <w:r>
        <w:rPr>
          <w:rFonts w:hint="eastAsia" w:ascii="仿宋_GB2312" w:hAnsi="仿宋_GB2312" w:eastAsia="仿宋_GB2312" w:cs="仿宋_GB2312"/>
          <w:sz w:val="32"/>
          <w:szCs w:val="32"/>
        </w:rPr>
        <w:t>万元。</w:t>
      </w:r>
    </w:p>
    <w:p>
      <w:pPr>
        <w:adjustRightInd w:val="0"/>
        <w:snapToGrid w:val="0"/>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5、一般公共预算财政拨款支出决算情况说明</w:t>
      </w:r>
    </w:p>
    <w:p>
      <w:pPr>
        <w:adjustRightInd w:val="0"/>
        <w:snapToGrid w:val="0"/>
        <w:spacing w:line="360" w:lineRule="auto"/>
        <w:ind w:firstLine="640" w:firstLineChars="200"/>
        <w:rPr>
          <w:rFonts w:hint="eastAsia" w:ascii="仿宋_GB2312" w:hAnsi="仿宋_GB2312" w:eastAsia="仿宋_GB2312" w:cs="仿宋_GB2312"/>
          <w:sz w:val="32"/>
          <w:szCs w:val="32"/>
        </w:rPr>
      </w:pPr>
      <w:r>
        <w:rPr>
          <w:rFonts w:hint="eastAsia" w:ascii="黑体" w:hAnsi="黑体" w:eastAsia="黑体"/>
          <w:sz w:val="32"/>
          <w:szCs w:val="32"/>
          <w:u w:val="single"/>
          <w:lang w:eastAsia="zh-CN"/>
        </w:rPr>
        <w:t>西工区人力资源和社会保障局</w:t>
      </w:r>
      <w:r>
        <w:rPr>
          <w:rFonts w:hint="eastAsia" w:ascii="仿宋_GB2312" w:hAnsi="仿宋_GB2312" w:eastAsia="仿宋_GB2312" w:cs="仿宋_GB2312"/>
          <w:sz w:val="32"/>
          <w:szCs w:val="32"/>
        </w:rPr>
        <w:t>201</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年一般公共预算财政拨款支出决算为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321.78</w:t>
      </w:r>
      <w:r>
        <w:rPr>
          <w:rFonts w:hint="eastAsia" w:ascii="仿宋_GB2312" w:hAnsi="仿宋_GB2312" w:eastAsia="仿宋_GB2312" w:cs="仿宋_GB2312"/>
          <w:sz w:val="32"/>
          <w:szCs w:val="32"/>
        </w:rPr>
        <w:t>万元。主要用于以下方面：一般公共服务（类）支出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240.91</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75</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xml:space="preserve"> %；社会保障和就业支出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42.18</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1</w:t>
      </w:r>
      <w:r>
        <w:rPr>
          <w:rFonts w:hint="eastAsia" w:ascii="仿宋_GB2312" w:hAnsi="仿宋_GB2312" w:eastAsia="仿宋_GB2312" w:cs="仿宋_GB2312"/>
          <w:sz w:val="32"/>
          <w:szCs w:val="32"/>
          <w:u w:val="single"/>
        </w:rPr>
        <w:t xml:space="preserve">3  </w:t>
      </w:r>
      <w:r>
        <w:rPr>
          <w:rFonts w:hint="eastAsia" w:ascii="仿宋_GB2312" w:hAnsi="仿宋_GB2312" w:eastAsia="仿宋_GB2312" w:cs="仿宋_GB2312"/>
          <w:sz w:val="32"/>
          <w:szCs w:val="32"/>
        </w:rPr>
        <w:t xml:space="preserve"> %；医疗卫生与计划生育支出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18.53</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5</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xml:space="preserve"> %；住房保障（类）支出</w:t>
      </w:r>
      <w:r>
        <w:rPr>
          <w:rFonts w:hint="eastAsia" w:ascii="仿宋_GB2312" w:hAnsi="仿宋_GB2312" w:eastAsia="仿宋_GB2312" w:cs="仿宋_GB2312"/>
          <w:sz w:val="32"/>
          <w:szCs w:val="32"/>
          <w:u w:val="single"/>
        </w:rPr>
        <w:t xml:space="preserve"> 1</w:t>
      </w:r>
      <w:r>
        <w:rPr>
          <w:rFonts w:hint="eastAsia" w:ascii="仿宋_GB2312" w:hAnsi="仿宋_GB2312" w:eastAsia="仿宋_GB2312" w:cs="仿宋_GB2312"/>
          <w:sz w:val="32"/>
          <w:szCs w:val="32"/>
          <w:u w:val="single"/>
          <w:lang w:val="en-US" w:eastAsia="zh-CN"/>
        </w:rPr>
        <w:t>6.45</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5</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xml:space="preserve"> %。</w:t>
      </w:r>
    </w:p>
    <w:p>
      <w:pPr>
        <w:adjustRightInd w:val="0"/>
        <w:snapToGrid w:val="0"/>
        <w:spacing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（1）一般公共服务（类）财政事务（款）。年初预算</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u w:val="single"/>
          <w:lang w:val="en-US" w:eastAsia="zh-CN"/>
        </w:rPr>
        <w:t>357.30</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rPr>
        <w:t>万元，调整后预算</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u w:val="single"/>
          <w:lang w:val="en-US" w:eastAsia="zh-CN"/>
        </w:rPr>
        <w:t>321.78</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rPr>
        <w:t>万元，支出决算为</w:t>
      </w:r>
      <w:r>
        <w:rPr>
          <w:rFonts w:hint="eastAsia" w:ascii="仿宋_GB2312" w:hAnsi="仿宋_GB2312" w:eastAsia="仿宋_GB2312" w:cs="仿宋_GB2312"/>
          <w:color w:val="auto"/>
          <w:sz w:val="32"/>
          <w:szCs w:val="32"/>
          <w:u w:val="single"/>
          <w:lang w:val="en-US" w:eastAsia="zh-CN"/>
        </w:rPr>
        <w:t>321.78</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rPr>
        <w:t>万元，完成年初预算的</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u w:val="single"/>
          <w:lang w:val="en-US" w:eastAsia="zh-CN"/>
        </w:rPr>
        <w:t>90</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rPr>
        <w:t xml:space="preserve"> %。</w:t>
      </w:r>
    </w:p>
    <w:p>
      <w:pPr>
        <w:adjustRightInd w:val="0"/>
        <w:snapToGrid w:val="0"/>
        <w:spacing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（2）住房保障支出（类）住房改革支出（款）。年初预算</w:t>
      </w:r>
      <w:r>
        <w:rPr>
          <w:rFonts w:hint="eastAsia" w:ascii="仿宋_GB2312" w:hAnsi="仿宋_GB2312" w:eastAsia="仿宋_GB2312" w:cs="仿宋_GB2312"/>
          <w:color w:val="auto"/>
          <w:sz w:val="32"/>
          <w:szCs w:val="32"/>
          <w:u w:val="single"/>
        </w:rPr>
        <w:t xml:space="preserve">  19.</w:t>
      </w:r>
      <w:r>
        <w:rPr>
          <w:rFonts w:hint="eastAsia" w:ascii="仿宋_GB2312" w:hAnsi="仿宋_GB2312" w:eastAsia="仿宋_GB2312" w:cs="仿宋_GB2312"/>
          <w:color w:val="auto"/>
          <w:sz w:val="32"/>
          <w:szCs w:val="32"/>
          <w:u w:val="single"/>
          <w:lang w:val="en-US" w:eastAsia="zh-CN"/>
        </w:rPr>
        <w:t>50</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rPr>
        <w:t>万元，支出决算为</w:t>
      </w:r>
      <w:r>
        <w:rPr>
          <w:rFonts w:hint="eastAsia" w:ascii="仿宋_GB2312" w:hAnsi="仿宋_GB2312" w:eastAsia="仿宋_GB2312" w:cs="仿宋_GB2312"/>
          <w:color w:val="auto"/>
          <w:sz w:val="32"/>
          <w:szCs w:val="32"/>
          <w:u w:val="single"/>
        </w:rPr>
        <w:t xml:space="preserve">   1</w:t>
      </w:r>
      <w:r>
        <w:rPr>
          <w:rFonts w:hint="eastAsia" w:ascii="仿宋_GB2312" w:hAnsi="仿宋_GB2312" w:eastAsia="仿宋_GB2312" w:cs="仿宋_GB2312"/>
          <w:color w:val="auto"/>
          <w:sz w:val="32"/>
          <w:szCs w:val="32"/>
          <w:u w:val="single"/>
          <w:lang w:val="en-US" w:eastAsia="zh-CN"/>
        </w:rPr>
        <w:t>7</w:t>
      </w:r>
      <w:r>
        <w:rPr>
          <w:rFonts w:hint="eastAsia" w:ascii="仿宋_GB2312" w:hAnsi="仿宋_GB2312" w:eastAsia="仿宋_GB2312" w:cs="仿宋_GB2312"/>
          <w:color w:val="auto"/>
          <w:sz w:val="32"/>
          <w:szCs w:val="32"/>
          <w:u w:val="single"/>
        </w:rPr>
        <w:t>.</w:t>
      </w:r>
      <w:r>
        <w:rPr>
          <w:rFonts w:hint="eastAsia" w:ascii="仿宋_GB2312" w:hAnsi="仿宋_GB2312" w:eastAsia="仿宋_GB2312" w:cs="仿宋_GB2312"/>
          <w:color w:val="auto"/>
          <w:sz w:val="32"/>
          <w:szCs w:val="32"/>
          <w:u w:val="single"/>
          <w:lang w:val="en-US" w:eastAsia="zh-CN"/>
        </w:rPr>
        <w:t>37</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rPr>
        <w:t>万元，完成年初预算的</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u w:val="single"/>
          <w:lang w:val="en-US" w:eastAsia="zh-CN"/>
        </w:rPr>
        <w:t>99</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rPr>
        <w:t xml:space="preserve"> %。 </w:t>
      </w:r>
    </w:p>
    <w:p>
      <w:pPr>
        <w:adjustRightInd w:val="0"/>
        <w:snapToGrid w:val="0"/>
        <w:spacing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（3）社会保障和就业支出（类）社会保障和就业支出（款）。年初预算</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u w:val="single"/>
          <w:lang w:val="en-US" w:eastAsia="zh-CN"/>
        </w:rPr>
        <w:t>44.8</w:t>
      </w:r>
      <w:r>
        <w:rPr>
          <w:rFonts w:hint="eastAsia" w:ascii="仿宋_GB2312" w:hAnsi="仿宋_GB2312" w:eastAsia="仿宋_GB2312" w:cs="仿宋_GB2312"/>
          <w:color w:val="auto"/>
          <w:sz w:val="32"/>
          <w:szCs w:val="32"/>
        </w:rPr>
        <w:t>万元，支出决算为</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u w:val="single"/>
          <w:lang w:val="en-US" w:eastAsia="zh-CN"/>
        </w:rPr>
        <w:t>42.18</w:t>
      </w:r>
      <w:r>
        <w:rPr>
          <w:rFonts w:hint="eastAsia" w:ascii="仿宋_GB2312" w:hAnsi="仿宋_GB2312" w:eastAsia="仿宋_GB2312" w:cs="仿宋_GB2312"/>
          <w:color w:val="auto"/>
          <w:sz w:val="32"/>
          <w:szCs w:val="32"/>
        </w:rPr>
        <w:t>万元，完成年初预算的</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u w:val="single"/>
          <w:lang w:val="en-US" w:eastAsia="zh-CN"/>
        </w:rPr>
        <w:t>94</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rPr>
        <w:t xml:space="preserve"> %。 </w:t>
      </w:r>
    </w:p>
    <w:p>
      <w:pPr>
        <w:adjustRightInd w:val="0"/>
        <w:snapToGrid w:val="0"/>
        <w:spacing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（4）医疗卫生与计划生育支出（类）医疗卫生与计划生育支出（款）。年初预算</w:t>
      </w:r>
      <w:r>
        <w:rPr>
          <w:rFonts w:hint="eastAsia" w:ascii="仿宋_GB2312" w:hAnsi="仿宋_GB2312" w:eastAsia="仿宋_GB2312" w:cs="仿宋_GB2312"/>
          <w:color w:val="auto"/>
          <w:sz w:val="32"/>
          <w:szCs w:val="32"/>
          <w:u w:val="single"/>
          <w:lang w:val="en-US" w:eastAsia="zh-CN"/>
        </w:rPr>
        <w:t>23.1</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rPr>
        <w:t>万元，支出决算为</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u w:val="single"/>
          <w:lang w:val="en-US" w:eastAsia="zh-CN"/>
        </w:rPr>
        <w:t>18.53</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rPr>
        <w:t>万元，完成年初预算的</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u w:val="single"/>
          <w:lang w:val="en-US" w:eastAsia="zh-CN"/>
        </w:rPr>
        <w:t>80</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rPr>
        <w:t xml:space="preserve"> %。</w:t>
      </w:r>
    </w:p>
    <w:p>
      <w:pPr>
        <w:pStyle w:val="2"/>
        <w:kinsoku w:val="0"/>
        <w:overflowPunct w:val="0"/>
        <w:snapToGrid w:val="0"/>
        <w:spacing w:line="360" w:lineRule="auto"/>
        <w:ind w:left="0" w:firstLine="640" w:firstLineChars="200"/>
        <w:rPr>
          <w:rFonts w:hint="eastAsia" w:hAnsi="仿宋_GB2312"/>
          <w:sz w:val="32"/>
          <w:szCs w:val="32"/>
        </w:rPr>
      </w:pPr>
      <w:r>
        <w:rPr>
          <w:rFonts w:hint="eastAsia" w:hAnsi="仿宋_GB2312"/>
          <w:sz w:val="32"/>
          <w:szCs w:val="32"/>
        </w:rPr>
        <w:t>6、一般公共预算财政拨款基本支出决算情况说明</w:t>
      </w:r>
    </w:p>
    <w:p>
      <w:pPr>
        <w:pStyle w:val="2"/>
        <w:kinsoku w:val="0"/>
        <w:overflowPunct w:val="0"/>
        <w:snapToGrid w:val="0"/>
        <w:spacing w:line="360" w:lineRule="auto"/>
        <w:ind w:left="0" w:right="118" w:firstLine="640" w:firstLineChars="200"/>
        <w:jc w:val="both"/>
        <w:rPr>
          <w:rFonts w:hint="eastAsia" w:hAnsi="仿宋_GB2312"/>
          <w:sz w:val="32"/>
          <w:szCs w:val="32"/>
        </w:rPr>
      </w:pPr>
      <w:r>
        <w:rPr>
          <w:rFonts w:hint="eastAsia" w:ascii="黑体" w:hAnsi="黑体" w:eastAsia="黑体"/>
          <w:sz w:val="32"/>
          <w:szCs w:val="32"/>
          <w:u w:val="single"/>
          <w:lang w:eastAsia="zh-CN"/>
        </w:rPr>
        <w:t>西工区人力资源和社会保障局</w:t>
      </w:r>
      <w:r>
        <w:rPr>
          <w:rFonts w:hint="eastAsia" w:ascii="宋体" w:hAnsi="宋体" w:cs="宋体"/>
          <w:sz w:val="32"/>
          <w:szCs w:val="32"/>
          <w:u w:val="single"/>
        </w:rPr>
        <w:t xml:space="preserve"> </w:t>
      </w:r>
      <w:r>
        <w:rPr>
          <w:rFonts w:hint="eastAsia" w:ascii="黑体" w:hAnsi="黑体" w:eastAsia="黑体"/>
          <w:sz w:val="32"/>
          <w:szCs w:val="32"/>
          <w:u w:val="single"/>
        </w:rPr>
        <w:t xml:space="preserve">  </w:t>
      </w:r>
      <w:r>
        <w:rPr>
          <w:rFonts w:hint="eastAsia" w:hAnsi="仿宋_GB2312"/>
          <w:sz w:val="32"/>
          <w:szCs w:val="32"/>
        </w:rPr>
        <w:t>201</w:t>
      </w:r>
      <w:r>
        <w:rPr>
          <w:rFonts w:hint="eastAsia" w:hAnsi="仿宋_GB2312"/>
          <w:sz w:val="32"/>
          <w:szCs w:val="32"/>
          <w:lang w:val="en-US" w:eastAsia="zh-CN"/>
        </w:rPr>
        <w:t>7</w:t>
      </w:r>
      <w:r>
        <w:rPr>
          <w:rFonts w:hint="eastAsia" w:hAnsi="仿宋_GB2312"/>
          <w:sz w:val="32"/>
          <w:szCs w:val="32"/>
        </w:rPr>
        <w:t>年一般公共预算财政拨款基本支出</w:t>
      </w:r>
      <w:r>
        <w:rPr>
          <w:rFonts w:hint="eastAsia" w:hAnsi="仿宋_GB2312"/>
          <w:sz w:val="32"/>
          <w:szCs w:val="32"/>
          <w:u w:val="single"/>
        </w:rPr>
        <w:t xml:space="preserve">      </w:t>
      </w:r>
      <w:r>
        <w:rPr>
          <w:rFonts w:hint="eastAsia" w:hAnsi="仿宋_GB2312"/>
          <w:sz w:val="32"/>
          <w:szCs w:val="32"/>
          <w:u w:val="single"/>
          <w:lang w:val="en-US" w:eastAsia="zh-CN"/>
        </w:rPr>
        <w:t>282.71</w:t>
      </w:r>
      <w:r>
        <w:rPr>
          <w:rFonts w:hint="eastAsia" w:hAnsi="仿宋_GB2312"/>
          <w:sz w:val="32"/>
          <w:szCs w:val="32"/>
          <w:u w:val="single"/>
        </w:rPr>
        <w:t xml:space="preserve">    </w:t>
      </w:r>
      <w:r>
        <w:rPr>
          <w:rFonts w:hint="eastAsia" w:hAnsi="仿宋_GB2312"/>
          <w:sz w:val="32"/>
          <w:szCs w:val="32"/>
        </w:rPr>
        <w:t>万元，其中：</w:t>
      </w:r>
      <w:r>
        <w:rPr>
          <w:rFonts w:hint="eastAsia" w:hAnsi="仿宋_GB2312"/>
          <w:spacing w:val="-1"/>
          <w:sz w:val="32"/>
          <w:szCs w:val="32"/>
        </w:rPr>
        <w:t>人员经费</w:t>
      </w:r>
      <w:r>
        <w:rPr>
          <w:rFonts w:hint="eastAsia" w:hAnsi="仿宋_GB2312"/>
          <w:sz w:val="32"/>
          <w:szCs w:val="32"/>
          <w:u w:val="single"/>
        </w:rPr>
        <w:t xml:space="preserve"> </w:t>
      </w:r>
      <w:r>
        <w:rPr>
          <w:rFonts w:hint="eastAsia" w:hAnsi="仿宋_GB2312"/>
          <w:sz w:val="32"/>
          <w:szCs w:val="32"/>
          <w:u w:val="single"/>
          <w:lang w:val="en-US" w:eastAsia="zh-CN"/>
        </w:rPr>
        <w:t>268.85</w:t>
      </w:r>
      <w:r>
        <w:rPr>
          <w:rFonts w:hint="eastAsia" w:hAnsi="仿宋_GB2312"/>
          <w:sz w:val="32"/>
          <w:szCs w:val="32"/>
          <w:u w:val="single"/>
        </w:rPr>
        <w:t xml:space="preserve"> </w:t>
      </w:r>
      <w:r>
        <w:rPr>
          <w:rFonts w:hint="eastAsia" w:hAnsi="仿宋_GB2312"/>
          <w:sz w:val="32"/>
          <w:szCs w:val="32"/>
        </w:rPr>
        <w:t>万元，主要包括：基本工资、津贴补贴、 奖金、社会保障缴费、伙食补助费、绩效工资、其他工资福利支出、离休费、退休费、退职（役）费、抚恤金、生活补助、 医疗费、助学金、奖励金、住房公积金、提租补贴、购房补贴、 其他对个人和家庭的补助支出；</w:t>
      </w:r>
      <w:r>
        <w:rPr>
          <w:rFonts w:hint="eastAsia" w:hAnsi="仿宋_GB2312"/>
          <w:spacing w:val="-1"/>
          <w:sz w:val="32"/>
          <w:szCs w:val="32"/>
        </w:rPr>
        <w:t>公用经费</w:t>
      </w:r>
      <w:r>
        <w:rPr>
          <w:rFonts w:hint="eastAsia" w:hAnsi="仿宋_GB2312"/>
          <w:sz w:val="32"/>
          <w:szCs w:val="32"/>
          <w:u w:val="single"/>
        </w:rPr>
        <w:t xml:space="preserve">  </w:t>
      </w:r>
      <w:r>
        <w:rPr>
          <w:rFonts w:hint="eastAsia" w:hAnsi="仿宋_GB2312"/>
          <w:sz w:val="32"/>
          <w:szCs w:val="32"/>
          <w:u w:val="single"/>
          <w:lang w:val="en-US" w:eastAsia="zh-CN"/>
        </w:rPr>
        <w:t xml:space="preserve">13.86 </w:t>
      </w:r>
      <w:r>
        <w:rPr>
          <w:rFonts w:hint="eastAsia" w:hAnsi="仿宋_GB2312"/>
          <w:sz w:val="32"/>
          <w:szCs w:val="32"/>
        </w:rPr>
        <w:t>万元，主要包括：办公费、印刷费、咨询费、手续费、水费、电费、邮电费、取暖费、物业管理费、差旅费、因公出国（境）费、维 修（护）费、租赁费、会议费、培训费、公务接待费、专用材料费、劳务费、委托业务费、工会经费、福利费、公务用车运行维护费、其他交通费用、税金及附加费用、其他商品和服务支出、办公设备购置、专用设备购置、大型修缮、信息网络及软件购置更新、其他资本性支出。</w:t>
      </w:r>
    </w:p>
    <w:p>
      <w:pPr>
        <w:pStyle w:val="2"/>
        <w:kinsoku w:val="0"/>
        <w:overflowPunct w:val="0"/>
        <w:snapToGrid w:val="0"/>
        <w:spacing w:line="360" w:lineRule="auto"/>
        <w:ind w:left="0" w:firstLine="640" w:firstLineChars="200"/>
        <w:jc w:val="both"/>
        <w:rPr>
          <w:rFonts w:hint="eastAsia" w:ascii="黑体" w:hAnsi="黑体" w:eastAsia="黑体" w:cs="黑体"/>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rPr>
        <w:t>、一般公共预算财政拨款“三公”经费支出决算情况说明</w:t>
      </w:r>
    </w:p>
    <w:p>
      <w:pPr>
        <w:pStyle w:val="2"/>
        <w:kinsoku w:val="0"/>
        <w:overflowPunct w:val="0"/>
        <w:snapToGrid w:val="0"/>
        <w:spacing w:line="360" w:lineRule="auto"/>
        <w:ind w:left="0" w:firstLine="640" w:firstLineChars="200"/>
        <w:jc w:val="both"/>
        <w:rPr>
          <w:rFonts w:hint="eastAsia" w:hAnsi="仿宋_GB2312"/>
          <w:sz w:val="32"/>
          <w:szCs w:val="32"/>
        </w:rPr>
      </w:pPr>
      <w:r>
        <w:rPr>
          <w:rFonts w:hint="eastAsia" w:ascii="黑体" w:hAnsi="黑体" w:eastAsia="黑体"/>
          <w:sz w:val="32"/>
          <w:szCs w:val="32"/>
          <w:u w:val="single"/>
          <w:lang w:eastAsia="zh-CN"/>
        </w:rPr>
        <w:t>西工区人力资源和社会保障局</w:t>
      </w:r>
      <w:r>
        <w:rPr>
          <w:rFonts w:hint="eastAsia" w:ascii="黑体" w:hAnsi="黑体" w:eastAsia="黑体"/>
          <w:sz w:val="32"/>
          <w:szCs w:val="32"/>
          <w:u w:val="single"/>
        </w:rPr>
        <w:t xml:space="preserve">  </w:t>
      </w:r>
      <w:r>
        <w:rPr>
          <w:rFonts w:hint="eastAsia" w:hAnsi="仿宋_GB2312"/>
          <w:sz w:val="32"/>
          <w:szCs w:val="32"/>
        </w:rPr>
        <w:t>201</w:t>
      </w:r>
      <w:r>
        <w:rPr>
          <w:rFonts w:hint="eastAsia" w:hAnsi="仿宋_GB2312"/>
          <w:sz w:val="32"/>
          <w:szCs w:val="32"/>
          <w:lang w:val="en-US" w:eastAsia="zh-CN"/>
        </w:rPr>
        <w:t>7</w:t>
      </w:r>
      <w:r>
        <w:rPr>
          <w:rFonts w:hint="eastAsia" w:hAnsi="仿宋_GB2312"/>
          <w:sz w:val="32"/>
          <w:szCs w:val="32"/>
        </w:rPr>
        <w:t>年“三公”经费财政拨款支出决算为</w:t>
      </w:r>
      <w:r>
        <w:rPr>
          <w:rFonts w:hint="eastAsia" w:hAnsi="仿宋_GB2312"/>
          <w:sz w:val="32"/>
          <w:szCs w:val="32"/>
          <w:u w:val="single"/>
        </w:rPr>
        <w:t xml:space="preserve">   </w:t>
      </w:r>
      <w:r>
        <w:rPr>
          <w:rFonts w:hint="eastAsia" w:hAnsi="仿宋_GB2312"/>
          <w:sz w:val="32"/>
          <w:szCs w:val="32"/>
          <w:u w:val="single"/>
          <w:lang w:val="en-US" w:eastAsia="zh-CN"/>
        </w:rPr>
        <w:t>0</w:t>
      </w:r>
      <w:r>
        <w:rPr>
          <w:rFonts w:hint="eastAsia" w:hAnsi="仿宋_GB2312"/>
          <w:sz w:val="32"/>
          <w:szCs w:val="32"/>
          <w:u w:val="single"/>
        </w:rPr>
        <w:t xml:space="preserve"> </w:t>
      </w:r>
      <w:r>
        <w:rPr>
          <w:rFonts w:hint="eastAsia" w:hAnsi="仿宋_GB2312"/>
          <w:sz w:val="32"/>
          <w:szCs w:val="32"/>
        </w:rPr>
        <w:t>万元。</w:t>
      </w:r>
    </w:p>
    <w:p>
      <w:pPr>
        <w:pStyle w:val="2"/>
        <w:kinsoku w:val="0"/>
        <w:overflowPunct w:val="0"/>
        <w:snapToGrid w:val="0"/>
        <w:spacing w:line="360" w:lineRule="auto"/>
        <w:ind w:left="0" w:firstLine="636" w:firstLineChars="200"/>
        <w:jc w:val="both"/>
        <w:rPr>
          <w:rFonts w:hint="eastAsia" w:hAnsi="仿宋_GB2312" w:eastAsia="仿宋_GB2312"/>
          <w:sz w:val="32"/>
          <w:szCs w:val="32"/>
          <w:lang w:val="en-US" w:eastAsia="zh-CN"/>
        </w:rPr>
      </w:pPr>
      <w:r>
        <w:rPr>
          <w:rFonts w:hint="eastAsia" w:hAnsi="仿宋_GB2312"/>
          <w:spacing w:val="-1"/>
          <w:sz w:val="32"/>
          <w:szCs w:val="32"/>
        </w:rPr>
        <w:t>1、因公出国（境）费</w:t>
      </w:r>
      <w:r>
        <w:rPr>
          <w:rFonts w:hint="eastAsia" w:hAnsi="仿宋_GB2312"/>
          <w:sz w:val="32"/>
          <w:szCs w:val="32"/>
          <w:u w:val="single"/>
        </w:rPr>
        <w:t xml:space="preserve">   0  </w:t>
      </w:r>
      <w:r>
        <w:rPr>
          <w:rFonts w:hint="eastAsia" w:hAnsi="仿宋_GB2312"/>
          <w:spacing w:val="-1"/>
          <w:sz w:val="32"/>
          <w:szCs w:val="32"/>
        </w:rPr>
        <w:t>万元</w:t>
      </w:r>
      <w:r>
        <w:rPr>
          <w:rFonts w:hint="eastAsia" w:hAnsi="仿宋_GB2312"/>
          <w:spacing w:val="-1"/>
          <w:sz w:val="32"/>
          <w:szCs w:val="32"/>
          <w:lang w:eastAsia="zh-CN"/>
        </w:rPr>
        <w:t>，</w:t>
      </w:r>
      <w:r>
        <w:rPr>
          <w:rFonts w:hint="eastAsia" w:hAnsi="仿宋_GB2312"/>
          <w:spacing w:val="-1"/>
          <w:sz w:val="32"/>
          <w:szCs w:val="32"/>
          <w:lang w:val="en-US" w:eastAsia="zh-CN"/>
        </w:rPr>
        <w:t>无因公出国出国、出境的团组及人数。</w:t>
      </w:r>
    </w:p>
    <w:p>
      <w:pPr>
        <w:pStyle w:val="2"/>
        <w:kinsoku w:val="0"/>
        <w:overflowPunct w:val="0"/>
        <w:snapToGrid w:val="0"/>
        <w:spacing w:line="360" w:lineRule="auto"/>
        <w:ind w:left="0" w:firstLine="636" w:firstLineChars="200"/>
        <w:jc w:val="both"/>
        <w:rPr>
          <w:rFonts w:hint="eastAsia" w:hAnsi="仿宋_GB2312"/>
          <w:sz w:val="32"/>
          <w:szCs w:val="32"/>
        </w:rPr>
      </w:pPr>
      <w:r>
        <w:rPr>
          <w:rFonts w:hint="eastAsia" w:hAnsi="仿宋_GB2312"/>
          <w:spacing w:val="-1"/>
          <w:sz w:val="32"/>
          <w:szCs w:val="32"/>
        </w:rPr>
        <w:t>2、公务用车购置及运行费</w:t>
      </w:r>
      <w:r>
        <w:rPr>
          <w:rFonts w:hint="eastAsia" w:hAnsi="仿宋_GB2312"/>
          <w:sz w:val="32"/>
          <w:szCs w:val="32"/>
          <w:u w:val="single"/>
        </w:rPr>
        <w:t xml:space="preserve"> </w:t>
      </w:r>
      <w:r>
        <w:rPr>
          <w:rFonts w:hint="eastAsia" w:hAnsi="仿宋_GB2312"/>
          <w:sz w:val="32"/>
          <w:szCs w:val="32"/>
          <w:u w:val="single"/>
          <w:lang w:val="en-US" w:eastAsia="zh-CN"/>
        </w:rPr>
        <w:t xml:space="preserve">0  </w:t>
      </w:r>
      <w:r>
        <w:rPr>
          <w:rFonts w:hint="eastAsia" w:hAnsi="仿宋_GB2312"/>
          <w:sz w:val="32"/>
          <w:szCs w:val="32"/>
        </w:rPr>
        <w:t>万元，其中，公务用车购置费</w:t>
      </w:r>
      <w:r>
        <w:rPr>
          <w:rFonts w:hint="eastAsia" w:hAnsi="仿宋_GB2312"/>
          <w:sz w:val="32"/>
          <w:szCs w:val="32"/>
          <w:u w:val="single"/>
        </w:rPr>
        <w:t xml:space="preserve">     0</w:t>
      </w:r>
      <w:r>
        <w:rPr>
          <w:rFonts w:hint="eastAsia" w:hAnsi="仿宋_GB2312"/>
          <w:sz w:val="32"/>
          <w:szCs w:val="32"/>
        </w:rPr>
        <w:t>万元，购置</w:t>
      </w:r>
      <w:r>
        <w:rPr>
          <w:rFonts w:hint="eastAsia" w:hAnsi="仿宋_GB2312"/>
          <w:sz w:val="32"/>
          <w:szCs w:val="32"/>
          <w:u w:val="single"/>
        </w:rPr>
        <w:t xml:space="preserve">   0  </w:t>
      </w:r>
      <w:r>
        <w:rPr>
          <w:rFonts w:hint="eastAsia" w:hAnsi="仿宋_GB2312"/>
          <w:sz w:val="32"/>
          <w:szCs w:val="32"/>
        </w:rPr>
        <w:t>辆车；</w:t>
      </w:r>
      <w:r>
        <w:rPr>
          <w:rFonts w:hint="eastAsia" w:hAnsi="仿宋_GB2312"/>
          <w:sz w:val="32"/>
          <w:szCs w:val="32"/>
          <w:lang w:val="en-US" w:eastAsia="zh-CN"/>
        </w:rPr>
        <w:t>一般公务用车2辆，</w:t>
      </w:r>
      <w:r>
        <w:rPr>
          <w:rFonts w:hint="eastAsia" w:hAnsi="仿宋_GB2312"/>
          <w:sz w:val="32"/>
          <w:szCs w:val="32"/>
        </w:rPr>
        <w:t>公务用车运行维护费</w:t>
      </w:r>
      <w:r>
        <w:rPr>
          <w:rFonts w:hint="eastAsia" w:hAnsi="仿宋_GB2312"/>
          <w:sz w:val="32"/>
          <w:szCs w:val="32"/>
          <w:u w:val="single"/>
        </w:rPr>
        <w:t xml:space="preserve"> </w:t>
      </w:r>
      <w:r>
        <w:rPr>
          <w:rFonts w:hint="eastAsia" w:hAnsi="仿宋_GB2312"/>
          <w:sz w:val="32"/>
          <w:szCs w:val="32"/>
          <w:u w:val="single"/>
          <w:lang w:val="en-US" w:eastAsia="zh-CN"/>
        </w:rPr>
        <w:t>0</w:t>
      </w:r>
      <w:r>
        <w:rPr>
          <w:rFonts w:hint="eastAsia" w:hAnsi="仿宋_GB2312"/>
          <w:sz w:val="32"/>
          <w:szCs w:val="32"/>
          <w:u w:val="single"/>
        </w:rPr>
        <w:t xml:space="preserve">  </w:t>
      </w:r>
      <w:r>
        <w:rPr>
          <w:rFonts w:hint="eastAsia" w:hAnsi="仿宋_GB2312"/>
          <w:sz w:val="32"/>
          <w:szCs w:val="32"/>
        </w:rPr>
        <w:t>万元，主要用于开展工作所需公务用车的燃料费、维修费、过路过桥费、保险费、安全奖励费用等支出。</w:t>
      </w:r>
    </w:p>
    <w:p>
      <w:pPr>
        <w:pStyle w:val="2"/>
        <w:kinsoku w:val="0"/>
        <w:overflowPunct w:val="0"/>
        <w:snapToGrid w:val="0"/>
        <w:spacing w:line="360" w:lineRule="auto"/>
        <w:ind w:left="0" w:firstLine="636" w:firstLineChars="200"/>
        <w:jc w:val="both"/>
        <w:rPr>
          <w:rFonts w:hint="eastAsia" w:hAnsi="仿宋_GB2312" w:eastAsia="仿宋_GB2312"/>
          <w:sz w:val="32"/>
          <w:szCs w:val="32"/>
          <w:lang w:val="en-US" w:eastAsia="zh-CN"/>
        </w:rPr>
      </w:pPr>
      <w:r>
        <w:rPr>
          <w:rFonts w:hint="eastAsia" w:hAnsi="仿宋_GB2312"/>
          <w:spacing w:val="-1"/>
          <w:sz w:val="32"/>
          <w:szCs w:val="32"/>
        </w:rPr>
        <w:t>3、公务接待费</w:t>
      </w:r>
      <w:r>
        <w:rPr>
          <w:rFonts w:hint="eastAsia" w:hAnsi="仿宋_GB2312"/>
          <w:sz w:val="32"/>
          <w:szCs w:val="32"/>
          <w:u w:val="single"/>
        </w:rPr>
        <w:t xml:space="preserve">   </w:t>
      </w:r>
      <w:r>
        <w:rPr>
          <w:rFonts w:hint="eastAsia" w:hAnsi="仿宋_GB2312"/>
          <w:sz w:val="32"/>
          <w:szCs w:val="32"/>
          <w:u w:val="single"/>
          <w:lang w:val="en-US" w:eastAsia="zh-CN"/>
        </w:rPr>
        <w:t>0</w:t>
      </w:r>
      <w:r>
        <w:rPr>
          <w:rFonts w:hint="eastAsia" w:hAnsi="仿宋_GB2312"/>
          <w:sz w:val="32"/>
          <w:szCs w:val="32"/>
          <w:u w:val="single"/>
        </w:rPr>
        <w:t xml:space="preserve">  </w:t>
      </w:r>
      <w:r>
        <w:rPr>
          <w:rFonts w:hint="eastAsia" w:hAnsi="仿宋_GB2312"/>
          <w:sz w:val="32"/>
          <w:szCs w:val="32"/>
        </w:rPr>
        <w:t>万</w:t>
      </w:r>
      <w:r>
        <w:rPr>
          <w:rFonts w:hint="eastAsia" w:hAnsi="仿宋_GB2312"/>
          <w:sz w:val="32"/>
          <w:szCs w:val="32"/>
          <w:lang w:val="en-US" w:eastAsia="zh-CN"/>
        </w:rPr>
        <w:t>元，公务接待批次</w:t>
      </w:r>
      <w:r>
        <w:rPr>
          <w:rFonts w:hint="eastAsia" w:hAnsi="仿宋_GB2312"/>
          <w:sz w:val="32"/>
          <w:szCs w:val="32"/>
          <w:u w:val="single"/>
          <w:lang w:val="en-US" w:eastAsia="zh-CN"/>
        </w:rPr>
        <w:t xml:space="preserve">0 </w:t>
      </w:r>
      <w:r>
        <w:rPr>
          <w:rFonts w:hint="eastAsia" w:hAnsi="仿宋_GB2312"/>
          <w:sz w:val="32"/>
          <w:szCs w:val="32"/>
          <w:lang w:val="en-US" w:eastAsia="zh-CN"/>
        </w:rPr>
        <w:t>次，每次接待人数</w:t>
      </w:r>
      <w:r>
        <w:rPr>
          <w:rFonts w:hint="eastAsia" w:hAnsi="仿宋_GB2312"/>
          <w:sz w:val="32"/>
          <w:szCs w:val="32"/>
          <w:u w:val="single"/>
          <w:lang w:val="en-US" w:eastAsia="zh-CN"/>
        </w:rPr>
        <w:t xml:space="preserve">0  </w:t>
      </w:r>
      <w:r>
        <w:rPr>
          <w:rFonts w:hint="eastAsia" w:hAnsi="仿宋_GB2312"/>
          <w:sz w:val="32"/>
          <w:szCs w:val="32"/>
          <w:lang w:val="en-US" w:eastAsia="zh-CN"/>
        </w:rPr>
        <w:t>人。</w:t>
      </w:r>
    </w:p>
    <w:p>
      <w:pPr>
        <w:pStyle w:val="2"/>
        <w:kinsoku w:val="0"/>
        <w:overflowPunct w:val="0"/>
        <w:snapToGrid w:val="0"/>
        <w:spacing w:line="360" w:lineRule="auto"/>
        <w:ind w:left="0" w:firstLine="640" w:firstLineChars="200"/>
        <w:jc w:val="both"/>
        <w:rPr>
          <w:rFonts w:hint="eastAsia" w:ascii="宋体" w:hAnsi="宋体" w:eastAsia="宋体" w:cs="宋体"/>
          <w:sz w:val="32"/>
          <w:szCs w:val="32"/>
        </w:rPr>
      </w:pPr>
      <w:r>
        <w:rPr>
          <w:rFonts w:hint="eastAsia" w:ascii="黑体" w:hAnsi="黑体" w:eastAsia="黑体" w:cs="黑体"/>
          <w:sz w:val="32"/>
          <w:szCs w:val="32"/>
          <w:lang w:val="en-US" w:eastAsia="zh-CN"/>
        </w:rPr>
        <w:t>四</w:t>
      </w:r>
      <w:r>
        <w:rPr>
          <w:rFonts w:hint="eastAsia" w:ascii="黑体" w:hAnsi="黑体" w:eastAsia="黑体" w:cs="黑体"/>
          <w:sz w:val="32"/>
          <w:szCs w:val="32"/>
        </w:rPr>
        <w:t>、机关运行经费支出情况</w:t>
      </w:r>
    </w:p>
    <w:p>
      <w:pPr>
        <w:pStyle w:val="2"/>
        <w:kinsoku w:val="0"/>
        <w:overflowPunct w:val="0"/>
        <w:snapToGrid w:val="0"/>
        <w:spacing w:line="360" w:lineRule="auto"/>
        <w:ind w:left="0" w:firstLine="640" w:firstLineChars="200"/>
        <w:jc w:val="both"/>
        <w:rPr>
          <w:rFonts w:hint="eastAsia" w:hAnsi="仿宋_GB2312" w:eastAsia="仿宋_GB2312"/>
          <w:sz w:val="32"/>
          <w:szCs w:val="32"/>
          <w:lang w:val="en-US" w:eastAsia="zh-CN"/>
        </w:rPr>
      </w:pPr>
      <w:r>
        <w:rPr>
          <w:rFonts w:hint="eastAsia" w:hAnsi="仿宋_GB2312"/>
          <w:sz w:val="32"/>
          <w:szCs w:val="32"/>
        </w:rPr>
        <w:t>201</w:t>
      </w:r>
      <w:r>
        <w:rPr>
          <w:rFonts w:hint="eastAsia" w:hAnsi="仿宋_GB2312"/>
          <w:sz w:val="32"/>
          <w:szCs w:val="32"/>
          <w:lang w:val="en-US" w:eastAsia="zh-CN"/>
        </w:rPr>
        <w:t>7</w:t>
      </w:r>
      <w:r>
        <w:rPr>
          <w:rFonts w:hint="eastAsia" w:hAnsi="仿宋_GB2312"/>
          <w:sz w:val="32"/>
          <w:szCs w:val="32"/>
        </w:rPr>
        <w:t>年机关运行经费支出</w:t>
      </w:r>
      <w:r>
        <w:rPr>
          <w:rFonts w:hint="eastAsia" w:hAnsi="仿宋_GB2312"/>
          <w:sz w:val="32"/>
          <w:szCs w:val="32"/>
          <w:u w:val="single"/>
        </w:rPr>
        <w:t xml:space="preserve"> </w:t>
      </w:r>
      <w:r>
        <w:rPr>
          <w:rFonts w:hint="eastAsia" w:hAnsi="仿宋_GB2312"/>
          <w:sz w:val="32"/>
          <w:szCs w:val="32"/>
          <w:u w:val="single"/>
          <w:lang w:val="en-US" w:eastAsia="zh-CN"/>
        </w:rPr>
        <w:t>13.86</w:t>
      </w:r>
      <w:r>
        <w:rPr>
          <w:rFonts w:hint="eastAsia" w:hAnsi="仿宋_GB2312"/>
          <w:sz w:val="32"/>
          <w:szCs w:val="32"/>
          <w:u w:val="single"/>
        </w:rPr>
        <w:t xml:space="preserve"> </w:t>
      </w:r>
      <w:r>
        <w:rPr>
          <w:rFonts w:hint="eastAsia" w:hAnsi="仿宋_GB2312"/>
          <w:sz w:val="32"/>
          <w:szCs w:val="32"/>
        </w:rPr>
        <w:t>万元</w:t>
      </w:r>
      <w:r>
        <w:rPr>
          <w:rFonts w:hint="eastAsia" w:hAnsi="仿宋_GB2312"/>
          <w:sz w:val="32"/>
          <w:szCs w:val="32"/>
          <w:lang w:eastAsia="zh-CN"/>
        </w:rPr>
        <w:t>，</w:t>
      </w:r>
      <w:r>
        <w:rPr>
          <w:rFonts w:hint="eastAsia" w:hAnsi="仿宋_GB2312"/>
          <w:sz w:val="32"/>
          <w:szCs w:val="32"/>
          <w:lang w:val="en-US" w:eastAsia="zh-CN"/>
        </w:rPr>
        <w:t>主要用于日常办公、电话费、报刊的征订等日常经费开支。</w:t>
      </w:r>
    </w:p>
    <w:p>
      <w:pPr>
        <w:pStyle w:val="2"/>
        <w:kinsoku w:val="0"/>
        <w:overflowPunct w:val="0"/>
        <w:snapToGrid w:val="0"/>
        <w:spacing w:line="360" w:lineRule="auto"/>
        <w:ind w:left="0" w:firstLine="640" w:firstLineChars="200"/>
        <w:jc w:val="both"/>
        <w:rPr>
          <w:rFonts w:hint="eastAsia" w:ascii="黑体" w:hAnsi="黑体" w:eastAsia="黑体" w:cs="黑体"/>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rPr>
        <w:t>、政府采购支出说明</w:t>
      </w:r>
    </w:p>
    <w:p>
      <w:pPr>
        <w:pStyle w:val="2"/>
        <w:kinsoku w:val="0"/>
        <w:overflowPunct w:val="0"/>
        <w:snapToGrid w:val="0"/>
        <w:spacing w:line="360" w:lineRule="auto"/>
        <w:ind w:left="0" w:firstLine="640" w:firstLineChars="200"/>
        <w:jc w:val="both"/>
        <w:rPr>
          <w:rFonts w:hint="eastAsia" w:hAnsi="仿宋_GB2312"/>
          <w:color w:val="0000FF"/>
          <w:sz w:val="32"/>
          <w:szCs w:val="32"/>
        </w:rPr>
      </w:pPr>
      <w:r>
        <w:rPr>
          <w:rFonts w:hint="eastAsia" w:hAnsi="仿宋_GB2312"/>
          <w:color w:val="auto"/>
          <w:sz w:val="32"/>
          <w:szCs w:val="32"/>
        </w:rPr>
        <w:t>201</w:t>
      </w:r>
      <w:r>
        <w:rPr>
          <w:rFonts w:hint="eastAsia" w:hAnsi="仿宋_GB2312"/>
          <w:color w:val="auto"/>
          <w:sz w:val="32"/>
          <w:szCs w:val="32"/>
          <w:lang w:val="en-US" w:eastAsia="zh-CN"/>
        </w:rPr>
        <w:t>7</w:t>
      </w:r>
      <w:r>
        <w:rPr>
          <w:rFonts w:hint="eastAsia" w:hAnsi="仿宋_GB2312"/>
          <w:color w:val="auto"/>
          <w:sz w:val="32"/>
          <w:szCs w:val="32"/>
        </w:rPr>
        <w:t>年本部门政府采购支出总额</w:t>
      </w:r>
      <w:r>
        <w:rPr>
          <w:rFonts w:hint="eastAsia" w:hAnsi="仿宋_GB2312"/>
          <w:color w:val="auto"/>
          <w:sz w:val="32"/>
          <w:szCs w:val="32"/>
          <w:u w:val="single"/>
        </w:rPr>
        <w:t xml:space="preserve"> </w:t>
      </w:r>
      <w:r>
        <w:rPr>
          <w:rFonts w:hint="eastAsia" w:hAnsi="仿宋_GB2312"/>
          <w:color w:val="auto"/>
          <w:sz w:val="32"/>
          <w:szCs w:val="32"/>
          <w:u w:val="single"/>
          <w:lang w:val="en-US" w:eastAsia="zh-CN"/>
        </w:rPr>
        <w:t>13.38</w:t>
      </w:r>
      <w:r>
        <w:rPr>
          <w:rFonts w:hint="eastAsia" w:hAnsi="仿宋_GB2312"/>
          <w:color w:val="auto"/>
          <w:sz w:val="32"/>
          <w:szCs w:val="32"/>
          <w:u w:val="single"/>
        </w:rPr>
        <w:t xml:space="preserve"> </w:t>
      </w:r>
      <w:r>
        <w:rPr>
          <w:rFonts w:hint="eastAsia" w:hAnsi="仿宋_GB2312"/>
          <w:color w:val="auto"/>
          <w:sz w:val="32"/>
          <w:szCs w:val="32"/>
        </w:rPr>
        <w:t>万元，其中</w:t>
      </w:r>
      <w:r>
        <w:rPr>
          <w:rFonts w:hint="eastAsia" w:hAnsi="仿宋_GB2312"/>
          <w:color w:val="auto"/>
          <w:sz w:val="32"/>
          <w:szCs w:val="32"/>
          <w:u w:val="none"/>
        </w:rPr>
        <w:t>：购买电脑</w:t>
      </w:r>
      <w:r>
        <w:rPr>
          <w:rFonts w:hint="eastAsia" w:hAnsi="仿宋_GB2312"/>
          <w:color w:val="auto"/>
          <w:sz w:val="32"/>
          <w:szCs w:val="32"/>
          <w:u w:val="none"/>
          <w:lang w:eastAsia="zh-CN"/>
        </w:rPr>
        <w:t>、</w:t>
      </w:r>
      <w:r>
        <w:rPr>
          <w:rFonts w:hint="eastAsia" w:hAnsi="仿宋_GB2312"/>
          <w:color w:val="auto"/>
          <w:sz w:val="32"/>
          <w:szCs w:val="32"/>
          <w:u w:val="none"/>
          <w:lang w:val="en-US" w:eastAsia="zh-CN"/>
        </w:rPr>
        <w:t>打印机、复印机、多功能一体</w:t>
      </w:r>
      <w:r>
        <w:rPr>
          <w:rFonts w:hint="eastAsia" w:hAnsi="仿宋_GB2312"/>
          <w:color w:val="auto"/>
          <w:sz w:val="32"/>
          <w:szCs w:val="32"/>
          <w:u w:val="none"/>
          <w:lang w:eastAsia="zh-CN"/>
        </w:rPr>
        <w:t>机、</w:t>
      </w:r>
      <w:r>
        <w:rPr>
          <w:rFonts w:hint="eastAsia" w:hAnsi="仿宋_GB2312"/>
          <w:color w:val="auto"/>
          <w:sz w:val="32"/>
          <w:szCs w:val="32"/>
          <w:u w:val="none"/>
          <w:lang w:val="en-US" w:eastAsia="zh-CN"/>
        </w:rPr>
        <w:t>办公桌椅、仲裁庭装修</w:t>
      </w:r>
      <w:r>
        <w:rPr>
          <w:rFonts w:hint="eastAsia" w:hAnsi="仿宋_GB2312"/>
          <w:color w:val="auto"/>
          <w:sz w:val="32"/>
          <w:szCs w:val="32"/>
          <w:u w:val="single"/>
          <w:lang w:val="en-US" w:eastAsia="zh-CN"/>
        </w:rPr>
        <w:t>1</w:t>
      </w:r>
      <w:bookmarkStart w:id="0" w:name="_GoBack"/>
      <w:bookmarkEnd w:id="0"/>
      <w:r>
        <w:rPr>
          <w:rFonts w:hint="eastAsia" w:hAnsi="仿宋_GB2312"/>
          <w:color w:val="auto"/>
          <w:sz w:val="32"/>
          <w:szCs w:val="32"/>
          <w:u w:val="single"/>
          <w:lang w:val="en-US" w:eastAsia="zh-CN"/>
        </w:rPr>
        <w:t>3.38</w:t>
      </w:r>
      <w:r>
        <w:rPr>
          <w:rFonts w:hint="eastAsia" w:hAnsi="仿宋_GB2312"/>
          <w:color w:val="auto"/>
          <w:sz w:val="32"/>
          <w:szCs w:val="32"/>
          <w:u w:val="single"/>
        </w:rPr>
        <w:t xml:space="preserve"> </w:t>
      </w:r>
      <w:r>
        <w:rPr>
          <w:rFonts w:hint="eastAsia" w:hAnsi="仿宋_GB2312"/>
          <w:color w:val="auto"/>
          <w:sz w:val="32"/>
          <w:szCs w:val="32"/>
          <w:u w:val="none"/>
        </w:rPr>
        <w:t xml:space="preserve"> </w:t>
      </w:r>
      <w:r>
        <w:rPr>
          <w:rFonts w:hint="eastAsia" w:hAnsi="仿宋_GB2312"/>
          <w:color w:val="auto"/>
          <w:sz w:val="32"/>
          <w:szCs w:val="32"/>
        </w:rPr>
        <w:t>万元。</w:t>
      </w:r>
    </w:p>
    <w:p>
      <w:pPr>
        <w:pStyle w:val="2"/>
        <w:kinsoku w:val="0"/>
        <w:overflowPunct w:val="0"/>
        <w:snapToGrid w:val="0"/>
        <w:spacing w:line="360" w:lineRule="auto"/>
        <w:ind w:left="0" w:firstLine="640" w:firstLineChars="200"/>
        <w:jc w:val="both"/>
        <w:rPr>
          <w:rFonts w:hint="eastAsia" w:ascii="宋体" w:hAnsi="宋体" w:eastAsia="宋体" w:cs="宋体"/>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rPr>
        <w:t>、国有资产占用情况</w:t>
      </w:r>
    </w:p>
    <w:p>
      <w:pPr>
        <w:pStyle w:val="2"/>
        <w:kinsoku w:val="0"/>
        <w:overflowPunct w:val="0"/>
        <w:snapToGrid w:val="0"/>
        <w:spacing w:line="360" w:lineRule="auto"/>
        <w:ind w:left="0" w:firstLine="640" w:firstLineChars="200"/>
        <w:jc w:val="both"/>
        <w:rPr>
          <w:rFonts w:hint="eastAsia" w:hAnsi="仿宋_GB2312"/>
          <w:sz w:val="32"/>
          <w:szCs w:val="32"/>
        </w:rPr>
      </w:pPr>
      <w:r>
        <w:rPr>
          <w:rFonts w:hint="eastAsia" w:hAnsi="仿宋_GB2312"/>
          <w:sz w:val="32"/>
          <w:szCs w:val="32"/>
        </w:rPr>
        <w:t>截至201</w:t>
      </w:r>
      <w:r>
        <w:rPr>
          <w:rFonts w:hint="eastAsia" w:hAnsi="仿宋_GB2312"/>
          <w:sz w:val="32"/>
          <w:szCs w:val="32"/>
          <w:lang w:val="en-US" w:eastAsia="zh-CN"/>
        </w:rPr>
        <w:t>7</w:t>
      </w:r>
      <w:r>
        <w:rPr>
          <w:rFonts w:hint="eastAsia" w:hAnsi="仿宋_GB2312"/>
          <w:sz w:val="32"/>
          <w:szCs w:val="32"/>
        </w:rPr>
        <w:t>年12月31日，共有车辆</w:t>
      </w:r>
      <w:r>
        <w:rPr>
          <w:rFonts w:hint="eastAsia" w:hAnsi="仿宋_GB2312"/>
          <w:sz w:val="32"/>
          <w:szCs w:val="32"/>
          <w:u w:val="single"/>
        </w:rPr>
        <w:t xml:space="preserve"> </w:t>
      </w:r>
      <w:r>
        <w:rPr>
          <w:rFonts w:hint="eastAsia" w:hAnsi="仿宋_GB2312"/>
          <w:sz w:val="32"/>
          <w:szCs w:val="32"/>
          <w:u w:val="single"/>
          <w:lang w:val="en-US" w:eastAsia="zh-CN"/>
        </w:rPr>
        <w:t>0</w:t>
      </w:r>
      <w:r>
        <w:rPr>
          <w:rFonts w:hint="eastAsia" w:hAnsi="仿宋_GB2312"/>
          <w:sz w:val="32"/>
          <w:szCs w:val="32"/>
          <w:u w:val="single"/>
        </w:rPr>
        <w:t xml:space="preserve">  </w:t>
      </w:r>
      <w:r>
        <w:rPr>
          <w:rFonts w:hint="eastAsia" w:hAnsi="仿宋_GB2312"/>
          <w:sz w:val="32"/>
          <w:szCs w:val="32"/>
        </w:rPr>
        <w:t>辆，其中，一般公务用车</w:t>
      </w:r>
      <w:r>
        <w:rPr>
          <w:rFonts w:hint="eastAsia" w:hAnsi="仿宋_GB2312"/>
          <w:sz w:val="32"/>
          <w:szCs w:val="32"/>
          <w:u w:val="single"/>
        </w:rPr>
        <w:t xml:space="preserve"> </w:t>
      </w:r>
      <w:r>
        <w:rPr>
          <w:rFonts w:hint="eastAsia" w:hAnsi="仿宋_GB2312"/>
          <w:sz w:val="32"/>
          <w:szCs w:val="32"/>
          <w:u w:val="single"/>
          <w:lang w:val="en-US" w:eastAsia="zh-CN"/>
        </w:rPr>
        <w:t xml:space="preserve">0 </w:t>
      </w:r>
      <w:r>
        <w:rPr>
          <w:rFonts w:hint="eastAsia" w:hAnsi="仿宋_GB2312"/>
          <w:sz w:val="32"/>
          <w:szCs w:val="32"/>
        </w:rPr>
        <w:t>辆。</w:t>
      </w:r>
    </w:p>
    <w:p>
      <w:pPr>
        <w:ind w:firstLine="570"/>
        <w:rPr>
          <w:rFonts w:hint="eastAsia" w:ascii="仿宋_GB2312" w:hAnsi="仿宋_GB2312" w:eastAsia="仿宋_GB2312" w:cs="仿宋_GB2312"/>
          <w:sz w:val="28"/>
          <w:szCs w:val="28"/>
        </w:rPr>
      </w:pPr>
    </w:p>
    <w:p>
      <w:pPr>
        <w:rPr>
          <w:rFonts w:hint="eastAsia" w:ascii="仿宋_GB2312" w:hAnsi="仿宋_GB2312" w:eastAsia="仿宋_GB2312" w:cs="仿宋_GB2312"/>
        </w:rPr>
      </w:pPr>
    </w:p>
    <w:p/>
    <w:sectPr>
      <w:footerReference r:id="rId3" w:type="default"/>
      <w:pgSz w:w="11906" w:h="16838"/>
      <w:pgMar w:top="1701" w:right="1417" w:bottom="1134"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3"/>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zql5uc8A&#10;AAAFAQAADwAAAAAAAAABACAAAAAiAAAAZHJzL2Rvd25yZXYueG1sUEsBAhQAFAAAAAgAh07iQNzT&#10;xD62AQAAVAMAAA4AAAAAAAAAAQAgAAAAHgEAAGRycy9lMm9Eb2MueG1sUEsFBgAAAAAGAAYAWQEA&#10;AEYFAAAAAA==&#10;">
              <v:fill on="f" focussize="0,0"/>
              <v:stroke on="f"/>
              <v:imagedata o:title=""/>
              <o:lock v:ext="edit" aspectratio="f"/>
              <v:textbox inset="0mm,0mm,0mm,0mm" style="mso-fit-shape-to-text:t;">
                <w:txbxContent>
                  <w:p>
                    <w:pPr>
                      <w:pStyle w:val="3"/>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771C01"/>
    <w:rsid w:val="016E71CF"/>
    <w:rsid w:val="02164E48"/>
    <w:rsid w:val="0DC52EF5"/>
    <w:rsid w:val="13186B37"/>
    <w:rsid w:val="141D0D36"/>
    <w:rsid w:val="286C0D88"/>
    <w:rsid w:val="2CE12E79"/>
    <w:rsid w:val="346B0972"/>
    <w:rsid w:val="45771C01"/>
    <w:rsid w:val="469F6D08"/>
    <w:rsid w:val="4D691BFD"/>
    <w:rsid w:val="50305142"/>
    <w:rsid w:val="55BF0A4B"/>
    <w:rsid w:val="58386CC2"/>
    <w:rsid w:val="642C612F"/>
    <w:rsid w:val="65E702C0"/>
    <w:rsid w:val="6D535020"/>
    <w:rsid w:val="6E58671D"/>
    <w:rsid w:val="70A40EAF"/>
    <w:rsid w:val="7FD408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0"/>
    <w:pPr>
      <w:autoSpaceDE w:val="0"/>
      <w:autoSpaceDN w:val="0"/>
      <w:adjustRightInd w:val="0"/>
      <w:spacing w:line="240" w:lineRule="auto"/>
      <w:ind w:left="761" w:firstLine="0" w:firstLineChars="0"/>
      <w:jc w:val="left"/>
    </w:pPr>
    <w:rPr>
      <w:rFonts w:ascii="仿宋_GB2312" w:hAnsi="Times New Roman" w:eastAsia="仿宋_GB2312" w:cs="仿宋_GB2312"/>
      <w:sz w:val="32"/>
      <w:szCs w:val="32"/>
    </w:r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71</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2018-10-25T01:07:00Z</dcterms:created>
  <dc:creator>夏小小</dc:creator>
  <cp:lastModifiedBy>夏小小</cp:lastModifiedBy>
  <dcterms:modified xsi:type="dcterms:W3CDTF">2018-10-25T03:45:28Z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