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rPr>
          <w:rFonts w:hint="eastAsia" w:ascii="文星标宋" w:hAnsi="文星标宋" w:eastAsia="文星标宋" w:cs="方正粗宋简体"/>
          <w:sz w:val="44"/>
          <w:szCs w:val="44"/>
        </w:rPr>
      </w:pPr>
    </w:p>
    <w:p>
      <w:pPr>
        <w:jc w:val="center"/>
        <w:rPr>
          <w:rFonts w:ascii="文星标宋" w:hAnsi="文星标宋" w:eastAsia="文星标宋" w:cs="方正粗宋简体"/>
          <w:sz w:val="44"/>
          <w:szCs w:val="44"/>
        </w:rPr>
      </w:pPr>
      <w:r>
        <w:rPr>
          <w:rFonts w:hint="eastAsia" w:ascii="文星标宋" w:hAnsi="文星标宋" w:eastAsia="文星标宋" w:cs="方正粗宋简体"/>
          <w:sz w:val="44"/>
          <w:szCs w:val="44"/>
          <w:lang w:eastAsia="zh-CN"/>
        </w:rPr>
        <w:t>西工区残联决算</w:t>
      </w:r>
      <w:bookmarkStart w:id="0" w:name="_GoBack"/>
      <w:bookmarkEnd w:id="0"/>
      <w:r>
        <w:rPr>
          <w:rFonts w:hint="eastAsia" w:ascii="文星标宋" w:hAnsi="文星标宋" w:eastAsia="文星标宋" w:cs="方正粗宋简体"/>
          <w:sz w:val="44"/>
          <w:szCs w:val="44"/>
        </w:rPr>
        <w:t>专业名词解释</w:t>
      </w:r>
    </w:p>
    <w:p>
      <w:pPr>
        <w:rPr>
          <w:rFonts w:ascii="方正粗宋简体" w:hAnsi="方正粗宋简体" w:eastAsia="方正粗宋简体" w:cs="方正粗宋简体"/>
          <w:sz w:val="36"/>
          <w:szCs w:val="36"/>
        </w:rPr>
      </w:pPr>
    </w:p>
    <w:p>
      <w:pPr>
        <w:pStyle w:val="10"/>
        <w:widowControl/>
        <w:spacing w:before="0" w:beforeAutospacing="0" w:after="0" w:afterAutospacing="0" w:line="600" w:lineRule="atLeast"/>
        <w:ind w:firstLine="645"/>
      </w:pPr>
      <w:r>
        <w:rPr>
          <w:rStyle w:val="9"/>
          <w:rFonts w:ascii="仿宋_GB2312" w:hAnsi="微软雅黑" w:eastAsia="仿宋_GB2312" w:cs="仿宋_GB2312"/>
          <w:color w:val="000000"/>
          <w:sz w:val="31"/>
          <w:szCs w:val="31"/>
          <w:shd w:val="clear" w:color="auto" w:fill="FFFFFF"/>
        </w:rPr>
        <w:t>公共财政：</w:t>
      </w:r>
      <w:r>
        <w:rPr>
          <w:rFonts w:ascii="仿宋_GB2312" w:hAnsi="微软雅黑" w:eastAsia="仿宋_GB2312" w:cs="仿宋_GB2312"/>
          <w:color w:val="000000"/>
          <w:sz w:val="31"/>
          <w:szCs w:val="31"/>
          <w:shd w:val="clear" w:color="auto" w:fill="FFFFFF"/>
        </w:rPr>
        <w:t>指在市场经济条件下，主要为满足</w:t>
      </w:r>
      <w:r>
        <w:rPr>
          <w:rFonts w:ascii="仿宋_GB2312" w:hAnsi="Times New Roman" w:eastAsia="仿宋_GB2312" w:cs="仿宋_GB2312"/>
          <w:color w:val="000000"/>
          <w:sz w:val="31"/>
          <w:szCs w:val="31"/>
          <w:shd w:val="clear" w:color="auto" w:fill="FFFFFF"/>
        </w:rPr>
        <w:t>社会公共需要而进行的政府收支活动模式或财政运行机制模式。具体来说，公共财政是国家以社会和经济管理者的身份从市场上取得收入，并将这些收入用于政府的公共活动支出，为社会提供公共产品和公共服务，以保证国家机器正常运转，保障国家安全，维护社会秩序，实现经济社会的协调发展。</w:t>
      </w:r>
    </w:p>
    <w:p>
      <w:pPr>
        <w:pStyle w:val="10"/>
        <w:widowControl/>
        <w:spacing w:before="0" w:beforeAutospacing="0" w:after="0" w:afterAutospacing="0" w:line="600" w:lineRule="atLeast"/>
        <w:ind w:firstLine="645"/>
      </w:pPr>
      <w:r>
        <w:rPr>
          <w:rStyle w:val="9"/>
          <w:rFonts w:ascii="仿宋_GB2312" w:hAnsi="Times New Roman" w:eastAsia="仿宋_GB2312" w:cs="仿宋_GB2312"/>
          <w:color w:val="000000"/>
          <w:sz w:val="31"/>
          <w:szCs w:val="31"/>
          <w:shd w:val="clear" w:color="auto" w:fill="FFFFFF"/>
        </w:rPr>
        <w:t>预算：</w:t>
      </w:r>
      <w:r>
        <w:rPr>
          <w:rFonts w:ascii="仿宋_GB2312" w:hAnsi="Times New Roman" w:eastAsia="仿宋_GB2312" w:cs="仿宋_GB2312"/>
          <w:color w:val="000000"/>
          <w:sz w:val="31"/>
          <w:szCs w:val="31"/>
          <w:shd w:val="clear" w:color="auto" w:fill="FFFFFF"/>
        </w:rPr>
        <w:t>指遵循统筹兼顾、勤俭节约、量力而行、讲求绩效和收支平衡的原则编制，经法定程序审核批准的国家年度集中性财政收支计划。政府的全部收入和支出都应当纳入预算，地方各级预算一般不列赤字。</w:t>
      </w:r>
    </w:p>
    <w:p>
      <w:pPr>
        <w:pStyle w:val="10"/>
        <w:widowControl/>
        <w:spacing w:before="0" w:beforeAutospacing="0" w:after="0" w:afterAutospacing="0" w:line="600" w:lineRule="atLeast"/>
        <w:ind w:firstLine="645"/>
      </w:pPr>
      <w:r>
        <w:rPr>
          <w:rStyle w:val="9"/>
          <w:rFonts w:ascii="仿宋_GB2312" w:hAnsi="Times New Roman" w:eastAsia="仿宋_GB2312" w:cs="仿宋_GB2312"/>
          <w:color w:val="000000"/>
          <w:sz w:val="31"/>
          <w:szCs w:val="31"/>
          <w:shd w:val="clear" w:color="auto" w:fill="FFFFFF"/>
        </w:rPr>
        <w:t>一般公共预算：</w:t>
      </w:r>
      <w:r>
        <w:rPr>
          <w:rFonts w:ascii="仿宋_GB2312" w:hAnsi="Times New Roman" w:eastAsia="仿宋_GB2312" w:cs="仿宋_GB2312"/>
          <w:color w:val="000000"/>
          <w:sz w:val="31"/>
          <w:szCs w:val="31"/>
          <w:shd w:val="clear" w:color="auto" w:fill="FFFFFF"/>
        </w:rPr>
        <w:t>对以税收为主体的财政收入，安排用于保障和改善民生、推动经济社会发展、维护国家安全、维持国家机构正常运转等方面的收支预算。此次《预算法》修订，将传统的一般预算、公共财政预算等概念统一为一般公共预算。</w:t>
      </w:r>
    </w:p>
    <w:p>
      <w:pPr>
        <w:pStyle w:val="10"/>
        <w:widowControl/>
        <w:spacing w:before="0" w:beforeAutospacing="0" w:after="0" w:afterAutospacing="0" w:line="600" w:lineRule="atLeast"/>
        <w:ind w:firstLine="645"/>
      </w:pPr>
      <w:r>
        <w:rPr>
          <w:rStyle w:val="9"/>
          <w:rFonts w:ascii="仿宋_GB2312" w:hAnsi="Times New Roman" w:eastAsia="仿宋_GB2312" w:cs="仿宋_GB2312"/>
          <w:color w:val="000000"/>
          <w:sz w:val="31"/>
          <w:szCs w:val="31"/>
          <w:shd w:val="clear" w:color="auto" w:fill="FFFFFF"/>
        </w:rPr>
        <w:t>一般性转移支付：</w:t>
      </w:r>
      <w:r>
        <w:rPr>
          <w:rFonts w:ascii="仿宋_GB2312" w:hAnsi="Times New Roman" w:eastAsia="仿宋_GB2312" w:cs="仿宋_GB2312"/>
          <w:color w:val="000000"/>
          <w:sz w:val="31"/>
          <w:szCs w:val="31"/>
          <w:shd w:val="clear" w:color="auto" w:fill="FFFFFF"/>
        </w:rPr>
        <w:t>指上级政府为均衡地区间基本财力，根据下级政府的组织财政收入能力、必要支出需求、各地自然经济和社会条件差异等因素，按照基本标准和计算方法测算，将其无偿转作下级政府收入来源，并由下级政府统筹安排使用的转移支付。</w:t>
      </w:r>
    </w:p>
    <w:p>
      <w:pPr>
        <w:pStyle w:val="10"/>
        <w:widowControl/>
        <w:spacing w:before="0" w:beforeAutospacing="0" w:after="0" w:afterAutospacing="0" w:line="600" w:lineRule="atLeast"/>
        <w:ind w:firstLine="645"/>
      </w:pPr>
      <w:r>
        <w:rPr>
          <w:rStyle w:val="9"/>
          <w:rFonts w:ascii="仿宋_GB2312" w:hAnsi="Times New Roman" w:eastAsia="仿宋_GB2312" w:cs="仿宋_GB2312"/>
          <w:color w:val="000000"/>
          <w:sz w:val="31"/>
          <w:szCs w:val="31"/>
          <w:shd w:val="clear" w:color="auto" w:fill="FFFFFF"/>
        </w:rPr>
        <w:t>专项转移支付：</w:t>
      </w:r>
      <w:r>
        <w:rPr>
          <w:rFonts w:ascii="仿宋_GB2312" w:hAnsi="Times New Roman" w:eastAsia="仿宋_GB2312" w:cs="仿宋_GB2312"/>
          <w:color w:val="000000"/>
          <w:sz w:val="31"/>
          <w:szCs w:val="31"/>
          <w:shd w:val="clear" w:color="auto" w:fill="FFFFFF"/>
        </w:rPr>
        <w:t>指上级政府对承担委托事务、共同事务的下级政府，给予的用于办理特定事项的转移支付。</w:t>
      </w:r>
    </w:p>
    <w:p>
      <w:pPr>
        <w:pStyle w:val="10"/>
        <w:widowControl/>
        <w:spacing w:before="0" w:beforeAutospacing="0" w:after="0" w:afterAutospacing="0" w:line="600" w:lineRule="atLeast"/>
        <w:ind w:firstLine="645"/>
        <w:rPr>
          <w:rFonts w:ascii="黑体" w:eastAsia="黑体" w:cs="黑体"/>
          <w:spacing w:val="-32"/>
          <w:szCs w:val="32"/>
        </w:rPr>
      </w:pPr>
      <w:r>
        <w:rPr>
          <w:rStyle w:val="9"/>
          <w:rFonts w:ascii="仿宋_GB2312" w:hAnsi="Times New Roman" w:eastAsia="仿宋_GB2312" w:cs="仿宋_GB2312"/>
          <w:color w:val="000000"/>
          <w:sz w:val="31"/>
          <w:szCs w:val="31"/>
          <w:shd w:val="clear" w:color="auto" w:fill="FFFFFF"/>
        </w:rPr>
        <w:t>部门预算：</w:t>
      </w:r>
      <w:r>
        <w:rPr>
          <w:rFonts w:ascii="仿宋_GB2312" w:hAnsi="Times New Roman" w:eastAsia="仿宋_GB2312" w:cs="仿宋_GB2312"/>
          <w:color w:val="000000"/>
          <w:sz w:val="31"/>
          <w:szCs w:val="31"/>
          <w:shd w:val="clear" w:color="auto" w:fill="FFFFFF"/>
        </w:rPr>
        <w:t>指与财政部门直接发生预算缴、拨款关系的国家机关、社会团体和其他单位，依据国家有关法律、法规规定及其履行职能的需要编制的本部门年度收支计划。部门预算的实施，严格了预算管理，增加了政府工作的透明度，是防止腐败的重要手段和预防措施之一。</w:t>
      </w:r>
    </w:p>
    <w:p>
      <w:pPr>
        <w:pStyle w:val="2"/>
        <w:kinsoku w:val="0"/>
        <w:overflowPunct w:val="0"/>
        <w:snapToGrid w:val="0"/>
        <w:spacing w:line="360" w:lineRule="auto"/>
        <w:ind w:left="0" w:firstLine="640" w:firstLineChars="200"/>
        <w:jc w:val="both"/>
        <w:rPr>
          <w:rFonts w:hAnsi="宋体" w:cs="Courier New"/>
        </w:rPr>
      </w:pPr>
      <w:r>
        <w:rPr>
          <w:rFonts w:hint="eastAsia" w:hAnsi="宋体" w:cs="Courier New"/>
        </w:rPr>
        <w:t>财政拨款收入：是指省级财政当年拨付的资金。</w:t>
      </w:r>
    </w:p>
    <w:p>
      <w:pPr>
        <w:pStyle w:val="2"/>
        <w:kinsoku w:val="0"/>
        <w:overflowPunct w:val="0"/>
        <w:snapToGrid w:val="0"/>
        <w:spacing w:line="360" w:lineRule="auto"/>
        <w:ind w:left="0" w:firstLine="643" w:firstLineChars="200"/>
        <w:jc w:val="both"/>
        <w:rPr>
          <w:rFonts w:hAnsi="宋体" w:cs="Courier New"/>
        </w:rPr>
      </w:pPr>
      <w:r>
        <w:rPr>
          <w:rFonts w:hint="eastAsia" w:hAnsi="宋体" w:cs="Courier New"/>
          <w:b/>
        </w:rPr>
        <w:t>事业收入：</w:t>
      </w:r>
      <w:r>
        <w:rPr>
          <w:rFonts w:hint="eastAsia" w:hAnsi="宋体" w:cs="Courier New"/>
        </w:rPr>
        <w:t>是指事业单位开展专业活动及辅助活动所取 得的收入。</w:t>
      </w:r>
    </w:p>
    <w:p>
      <w:pPr>
        <w:pStyle w:val="2"/>
        <w:kinsoku w:val="0"/>
        <w:overflowPunct w:val="0"/>
        <w:snapToGrid w:val="0"/>
        <w:spacing w:line="360" w:lineRule="auto"/>
        <w:ind w:left="0" w:firstLine="643" w:firstLineChars="200"/>
        <w:jc w:val="both"/>
        <w:rPr>
          <w:rFonts w:hAnsi="宋体" w:cs="Courier New"/>
        </w:rPr>
      </w:pPr>
      <w:r>
        <w:rPr>
          <w:rFonts w:hint="eastAsia" w:hAnsi="宋体" w:cs="Courier New"/>
          <w:b/>
        </w:rPr>
        <w:t>其他收入：</w:t>
      </w:r>
      <w:r>
        <w:rPr>
          <w:rFonts w:hint="eastAsia" w:hAnsi="宋体" w:cs="Courier New"/>
        </w:rPr>
        <w:t xml:space="preserve">是指部门取得的除“财政拨款”、“事业收入”、“事业单位经营收入”等以外的收入。 </w:t>
      </w:r>
    </w:p>
    <w:p>
      <w:pPr>
        <w:pStyle w:val="2"/>
        <w:kinsoku w:val="0"/>
        <w:overflowPunct w:val="0"/>
        <w:snapToGrid w:val="0"/>
        <w:spacing w:line="360" w:lineRule="auto"/>
        <w:ind w:left="0" w:firstLine="643" w:firstLineChars="200"/>
        <w:jc w:val="both"/>
        <w:rPr>
          <w:rFonts w:hAnsi="宋体" w:cs="Courier New"/>
        </w:rPr>
      </w:pPr>
      <w:r>
        <w:rPr>
          <w:rFonts w:hint="eastAsia" w:hAnsi="宋体" w:cs="Courier New"/>
          <w:b/>
        </w:rPr>
        <w:t>上年结转和结余：</w:t>
      </w:r>
      <w:r>
        <w:rPr>
          <w:rFonts w:hint="eastAsia" w:hAnsi="宋体" w:cs="Courier New"/>
        </w:rPr>
        <w:t>是指以前年度支出预算因客观条件变化未执行完毕、结转到本年度按有关规定继续使用的资金，既包括财政拨款结转和结余，也包括事业收入、经营收入、其他收入的结转和结余。</w:t>
      </w:r>
    </w:p>
    <w:p>
      <w:pPr>
        <w:pStyle w:val="2"/>
        <w:kinsoku w:val="0"/>
        <w:overflowPunct w:val="0"/>
        <w:snapToGrid w:val="0"/>
        <w:spacing w:line="360" w:lineRule="auto"/>
        <w:ind w:left="0" w:firstLine="643" w:firstLineChars="200"/>
        <w:jc w:val="both"/>
        <w:rPr>
          <w:rFonts w:hAnsi="宋体" w:cs="Courier New"/>
        </w:rPr>
      </w:pPr>
      <w:r>
        <w:rPr>
          <w:rFonts w:hint="eastAsia" w:hAnsi="宋体" w:cs="Courier New"/>
          <w:b/>
        </w:rPr>
        <w:t>基本支出：</w:t>
      </w:r>
      <w:r>
        <w:rPr>
          <w:rFonts w:hint="eastAsia" w:hAnsi="宋体" w:cs="Courier New"/>
        </w:rPr>
        <w:t>是指为保障机构正常运转、完成日常工作任务所必需的开支，其内容包括人员经费和日常公用经费两部分。</w:t>
      </w:r>
    </w:p>
    <w:p>
      <w:pPr>
        <w:pStyle w:val="2"/>
        <w:kinsoku w:val="0"/>
        <w:overflowPunct w:val="0"/>
        <w:snapToGrid w:val="0"/>
        <w:spacing w:line="360" w:lineRule="auto"/>
        <w:ind w:left="0" w:firstLine="643" w:firstLineChars="200"/>
        <w:jc w:val="both"/>
        <w:rPr>
          <w:rFonts w:hAnsi="宋体" w:cs="Courier New"/>
        </w:rPr>
      </w:pPr>
      <w:r>
        <w:rPr>
          <w:rFonts w:hint="eastAsia" w:hAnsi="宋体" w:cs="Courier New"/>
          <w:b/>
        </w:rPr>
        <w:t>项目支出：</w:t>
      </w:r>
      <w:r>
        <w:rPr>
          <w:rFonts w:hint="eastAsia" w:hAnsi="宋体" w:cs="Courier New"/>
        </w:rPr>
        <w:t>是指在基本支出之外，为完成特定的行政工作任务或事业发展目标所发生的支出。</w:t>
      </w:r>
      <w:r>
        <w:rPr>
          <w:rFonts w:hint="eastAsia"/>
          <w:b/>
          <w:bCs/>
        </w:rPr>
        <w:t>一般性项目支出</w:t>
      </w:r>
      <w:r>
        <w:rPr>
          <w:rFonts w:hint="eastAsia"/>
        </w:rPr>
        <w:t>是指主要用于维持我区行政事业单位正常运转的支出。</w:t>
      </w:r>
      <w:r>
        <w:rPr>
          <w:rFonts w:hint="eastAsia"/>
          <w:b/>
          <w:bCs/>
        </w:rPr>
        <w:t>专项资金支出</w:t>
      </w:r>
      <w:r>
        <w:rPr>
          <w:rFonts w:hint="eastAsia"/>
        </w:rPr>
        <w:t>是指为完成特定工作任务或实现特定事业发展目标而安排具有专项用途的资金。</w:t>
      </w:r>
    </w:p>
    <w:p>
      <w:pPr>
        <w:pStyle w:val="2"/>
        <w:kinsoku w:val="0"/>
        <w:overflowPunct w:val="0"/>
        <w:snapToGrid w:val="0"/>
        <w:spacing w:line="360" w:lineRule="auto"/>
        <w:ind w:left="0" w:firstLine="643" w:firstLineChars="200"/>
        <w:jc w:val="both"/>
        <w:rPr>
          <w:rFonts w:hAnsi="宋体" w:cs="Courier New"/>
        </w:rPr>
      </w:pPr>
      <w:r>
        <w:rPr>
          <w:rFonts w:hint="eastAsia" w:hAnsi="宋体" w:cs="Courier New"/>
          <w:b/>
        </w:rPr>
        <w:t xml:space="preserve"> “三公”经费：</w:t>
      </w:r>
      <w:r>
        <w:rPr>
          <w:rFonts w:hint="eastAsia" w:hAnsi="宋体" w:cs="Courier New"/>
        </w:rPr>
        <w:t>是指纳入省级财政预算管理，部门使用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pStyle w:val="2"/>
        <w:kinsoku w:val="0"/>
        <w:overflowPunct w:val="0"/>
        <w:snapToGrid w:val="0"/>
        <w:spacing w:line="360" w:lineRule="auto"/>
        <w:ind w:left="0" w:firstLine="643" w:firstLineChars="200"/>
        <w:jc w:val="both"/>
        <w:rPr>
          <w:rFonts w:hAnsi="宋体" w:cs="Courier New"/>
        </w:rPr>
      </w:pPr>
      <w:r>
        <w:rPr>
          <w:rFonts w:hint="eastAsia" w:hAnsi="宋体" w:cs="Courier New"/>
          <w:b/>
        </w:rPr>
        <w:t>机关运行经费：</w:t>
      </w:r>
      <w:r>
        <w:rPr>
          <w:rFonts w:hint="eastAsia" w:hAnsi="宋体" w:cs="Courier New"/>
        </w:rPr>
        <w:t>是指为保障行政单位（含参照公务员法管理的事业单位）运行用于购买货物和服务的各项资金，包括办公及印刷费、邮电费、差旅费、会议费、福利费、日常维修费及一般设备购置费、办公用房水电费、办公用房取暖费、办公用房物业管理费、公务用车运行维护费以及其他费用。</w:t>
      </w:r>
    </w:p>
    <w:p/>
    <w:sectPr>
      <w:pgSz w:w="11906" w:h="16838"/>
      <w:pgMar w:top="1440" w:right="1800" w:bottom="1440" w:left="1800" w:header="851" w:footer="992" w:gutter="0"/>
      <w:cols w:space="425" w:num="1"/>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Tahoma">
    <w:panose1 w:val="020B0604030504040204"/>
    <w:charset w:val="00"/>
    <w:family w:val="auto"/>
    <w:pitch w:val="default"/>
    <w:sig w:usb0="61007A87" w:usb1="80000000" w:usb2="00000008" w:usb3="00000000" w:csb0="200101FF" w:csb1="20280000"/>
  </w:font>
  <w:font w:name="Symbol">
    <w:panose1 w:val="05050102010706020507"/>
    <w:charset w:val="02"/>
    <w:family w:val="roman"/>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Wingdings">
    <w:panose1 w:val="05000000000000000000"/>
    <w:charset w:val="02"/>
    <w:family w:val="auto"/>
    <w:pitch w:val="default"/>
    <w:sig w:usb0="00000000" w:usb1="00000000" w:usb2="00000000" w:usb3="00000000" w:csb0="80000000" w:csb1="00000000"/>
  </w:font>
  <w:font w:name="微软雅黑">
    <w:altName w:val="黑体"/>
    <w:panose1 w:val="020B0503020204020204"/>
    <w:charset w:val="86"/>
    <w:family w:val="auto"/>
    <w:pitch w:val="default"/>
    <w:sig w:usb0="80000287" w:usb1="280F3C52" w:usb2="00000016" w:usb3="00000000" w:csb0="0004001F" w:csb1="00000000"/>
  </w:font>
  <w:font w:name="Calibri">
    <w:panose1 w:val="020F0502020204030204"/>
    <w:charset w:val="00"/>
    <w:family w:val="auto"/>
    <w:pitch w:val="default"/>
    <w:sig w:usb0="A00002EF" w:usb1="4000207B" w:usb2="00000000" w:usb3="00000000" w:csb0="2000009F" w:csb1="00000000"/>
  </w:font>
  <w:font w:name="仿宋_GB2312">
    <w:panose1 w:val="02010609030101010101"/>
    <w:charset w:val="86"/>
    <w:family w:val="auto"/>
    <w:pitch w:val="default"/>
    <w:sig w:usb0="00000001" w:usb1="080E0000" w:usb2="00000000" w:usb3="00000000" w:csb0="00040000" w:csb1="00000000"/>
  </w:font>
  <w:font w:name="文星标宋">
    <w:altName w:val="宋体"/>
    <w:panose1 w:val="02010604000101010101"/>
    <w:charset w:val="86"/>
    <w:family w:val="auto"/>
    <w:pitch w:val="default"/>
    <w:sig w:usb0="00000003" w:usb1="080E0000" w:usb2="00000010" w:usb3="00000000" w:csb0="00040001" w:csb1="00000000"/>
  </w:font>
  <w:font w:name="方正粗宋简体">
    <w:altName w:val="宋体"/>
    <w:panose1 w:val="00000000000000000000"/>
    <w:charset w:val="86"/>
    <w:family w:val="auto"/>
    <w:pitch w:val="default"/>
    <w:sig w:usb0="00000000" w:usb1="080E0000" w:usb2="00000000" w:usb3="00000000" w:csb0="00040000" w:csb1="00000000"/>
  </w:font>
  <w:font w:name="Cambria">
    <w:panose1 w:val="02040503050406030204"/>
    <w:charset w:val="00"/>
    <w:family w:val="auto"/>
    <w:pitch w:val="default"/>
    <w:sig w:usb0="A00002EF" w:usb1="4000004B" w:usb2="00000000" w:usb3="00000000" w:csb0="2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style w:type="paragraph" w:default="1" w:styleId="1">
    <w:name w:val="Normal"/>
    <w:pPr>
      <w:widowControl w:val="0"/>
      <w:jc w:val="both"/>
    </w:pPr>
    <w:rPr>
      <w:rFonts w:ascii="Calibri" w:hAnsi="Calibri" w:eastAsia="宋体" w:cs="黑体"/>
      <w:kern w:val="2"/>
      <w:sz w:val="21"/>
      <w:szCs w:val="22"/>
      <w:lang w:val="en-US" w:eastAsia="zh-CN" w:bidi="ar-SA"/>
    </w:rPr>
  </w:style>
  <w:style w:type="character" w:default="1" w:styleId="4">
    <w:name w:val="Default Paragraph Font"/>
  </w:style>
  <w:style w:type="paragraph" w:styleId="2">
    <w:name w:val="Body Text"/>
    <w:basedOn w:val="1"/>
    <w:link w:val="3"/>
    <w:pPr>
      <w:autoSpaceDE w:val="0"/>
      <w:autoSpaceDN w:val="0"/>
      <w:adjustRightInd w:val="0"/>
      <w:ind w:left="761"/>
      <w:jc w:val="left"/>
    </w:pPr>
    <w:rPr>
      <w:rFonts w:ascii="仿宋_GB2312" w:hAnsi="Times New Roman" w:eastAsia="仿宋_GB2312" w:cs="仿宋_GB2312"/>
      <w:sz w:val="32"/>
      <w:szCs w:val="32"/>
    </w:rPr>
  </w:style>
  <w:style w:type="character" w:customStyle="1" w:styleId="3">
    <w:name w:val="正文文本 Char"/>
    <w:basedOn w:val="4"/>
    <w:link w:val="2"/>
    <w:semiHidden/>
    <w:rPr>
      <w:rFonts w:ascii="仿宋_GB2312" w:hAnsi="Times New Roman" w:eastAsia="仿宋_GB2312" w:cs="仿宋_GB2312"/>
      <w:sz w:val="32"/>
      <w:szCs w:val="32"/>
    </w:rPr>
  </w:style>
  <w:style w:type="paragraph" w:styleId="5">
    <w:name w:val="footer"/>
    <w:basedOn w:val="1"/>
    <w:link w:val="6"/>
    <w:pPr>
      <w:tabs>
        <w:tab w:val="center" w:pos="4153"/>
        <w:tab w:val="right" w:pos="8306"/>
      </w:tabs>
      <w:snapToGrid w:val="0"/>
      <w:jc w:val="left"/>
    </w:pPr>
    <w:rPr>
      <w:sz w:val="18"/>
      <w:szCs w:val="18"/>
    </w:rPr>
  </w:style>
  <w:style w:type="character" w:customStyle="1" w:styleId="6">
    <w:name w:val="页脚 Char"/>
    <w:basedOn w:val="4"/>
    <w:link w:val="5"/>
    <w:semiHidden/>
    <w:rPr>
      <w:sz w:val="18"/>
      <w:szCs w:val="18"/>
    </w:rPr>
  </w:style>
  <w:style w:type="paragraph" w:styleId="7">
    <w:name w:val="header"/>
    <w:basedOn w:val="1"/>
    <w:link w:val="8"/>
    <w:pPr>
      <w:pBdr>
        <w:bottom w:val="single" w:color="auto" w:sz="6" w:space="1"/>
      </w:pBdr>
      <w:tabs>
        <w:tab w:val="center" w:pos="4153"/>
        <w:tab w:val="right" w:pos="8306"/>
      </w:tabs>
      <w:snapToGrid w:val="0"/>
      <w:jc w:val="center"/>
    </w:pPr>
    <w:rPr>
      <w:sz w:val="18"/>
      <w:szCs w:val="18"/>
    </w:rPr>
  </w:style>
  <w:style w:type="character" w:customStyle="1" w:styleId="8">
    <w:name w:val="页眉 Char"/>
    <w:basedOn w:val="4"/>
    <w:link w:val="7"/>
    <w:semiHidden/>
    <w:rPr>
      <w:sz w:val="18"/>
      <w:szCs w:val="18"/>
    </w:rPr>
  </w:style>
  <w:style w:type="character" w:styleId="9">
    <w:name w:val="Strong"/>
    <w:basedOn w:val="4"/>
    <w:rPr>
      <w:b/>
    </w:rPr>
  </w:style>
  <w:style w:type="paragraph" w:customStyle="1" w:styleId="10">
    <w:name w:val="Normal (Web)"/>
    <w:basedOn w:val="1"/>
    <w:pPr>
      <w:spacing w:before="100" w:beforeAutospacing="1" w:after="100" w:afterAutospacing="1"/>
      <w:jc w:val="left"/>
    </w:pPr>
    <w:rPr>
      <w:rFonts w:ascii="Calibri" w:hAnsi="Calibri" w:eastAsia="宋体" w:cs="Times New Roman"/>
      <w:kern w:val="0"/>
      <w:sz w:val="24"/>
      <w:szCs w:val="24"/>
    </w:rPr>
  </w:style>
</w:styles>
</file>

<file path=word/_rels/document.xml.rels><?xml version="1.0" encoding="UTF-8" standalone="yes"?>
<Relationships xmlns="http://schemas.openxmlformats.org/package/2006/relationships"><Relationship Id="rId1" Type="http://schemas.openxmlformats.org/officeDocument/2006/relationships/fontTable" Target="fontTable.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customXml" Target="../customXml/item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3</Pages>
  <Words>197</Words>
  <Characters>1124</Characters>
  <Lines>9</Lines>
  <Paragraphs>2</Paragraphs>
  <TotalTime>0</TotalTime>
  <ScaleCrop>false</ScaleCrop>
  <LinksUpToDate>false</LinksUpToDate>
  <CharactersWithSpaces>0</CharactersWithSpaces>
  <Application>WPS Office 专业版_9.1.0.4167</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2017-11-01T16:23:00Z</dcterms:created>
  <dc:creator>null,null,总收发</dc:creator>
  <dcterms:modified xsi:type="dcterms:W3CDTF">2018-10-25T11:33:05Z</dcterms:modified>
  <dc:title>null,null,总收发</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2052-9.1.0.4167</vt:lpwstr>
  </property>
</Properties>
</file>