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t>西工区人力资源和社会保障局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t>2024年度</w:t>
      </w:r>
      <w:bookmarkStart w:id="0" w:name="_GoBack"/>
      <w:bookmarkEnd w:id="0"/>
      <w:r>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t>法治政府建设工作报告</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西工区人社局坚持以习近平新时代中国特色社会主义思想为指导，全面落实法治政府建设工作部署，紧紧围绕“民生为本”工作主线，以建设“法治人社”为目标，严格落实任务要求，持续加大工作力度，切实以坚强有力法治保障助推人社事业高质量发展。现将法治政府建设工作情况总结如下：</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工作开展情况</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加强组织领导，健全</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制度</w:t>
      </w:r>
      <w:r>
        <w:rPr>
          <w:rFonts w:hint="eastAsia" w:ascii="楷体_GB2312" w:hAnsi="楷体_GB2312" w:eastAsia="楷体_GB2312" w:cs="楷体_GB2312"/>
          <w:color w:val="000000" w:themeColor="text1"/>
          <w:sz w:val="32"/>
          <w:szCs w:val="32"/>
          <w14:textFill>
            <w14:solidFill>
              <w14:schemeClr w14:val="tx1"/>
            </w14:solidFill>
          </w14:textFill>
        </w:rPr>
        <w:t>机制</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firstLine="64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一是高度重视。</w:t>
      </w:r>
      <w:r>
        <w:rPr>
          <w:rFonts w:hint="eastAsia" w:ascii="仿宋_GB2312" w:hAnsi="仿宋_GB2312" w:eastAsia="仿宋_GB2312" w:cs="仿宋_GB2312"/>
          <w:color w:val="000000" w:themeColor="text1"/>
          <w:sz w:val="32"/>
          <w:szCs w:val="32"/>
          <w14:textFill>
            <w14:solidFill>
              <w14:schemeClr w14:val="tx1"/>
            </w14:solidFill>
          </w14:textFill>
        </w:rPr>
        <w:t>认真贯彻落实上级关于法治政府建设工作要求，把人社事业全方位融入法治政府建设，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将法治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工作纳入年度工作计划，细化工作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，全面深入推进，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坚持把依法行政作为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构建和谐社会、建设法治政府的重大举措来推动落实。</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二是明确职责。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始终以主要负责人为法治政府建设第一责任人，健全行政执法岗位职责，落实行政执法主体责任。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三是强化保障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。成立领导小组，参与局重大决策、规范性文件、行政合同和行政执法行为的合法性审查，行政复议、行政诉讼等工作，为依法行政提供了有力支撑。</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强化法治思维，夯实执法队伍</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一是强化法治学习。</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坚持内部学习和对外普法齐抓共管，坚持法治学习和专项学习齐头并进，认真开展党的二十届三中全会精神和习近平法治思想的学习宣传工作，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重点学习《宪法》《民法典》《社会保险法》等法律法规和人社政策知识。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二是加强法治培训。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通过组织执法人员参加市、区两级培训，进一步提高执法人员学习法律法规的深度和广度，加强对执法人员培训考核、动态管理、岗位练兵，通过多种方式提升执法人员工作能力和业务水平。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三是执法持证上岗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。要求劳动关系部门的行政执法人员，一律参加执法证考试，从源头上规范执法行为，保证执法办案质量，打造一支业务精、素质好的人社干部执法队伍。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履行人社</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职责</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促进职能转变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及时调整权责清单。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坚持法定职责必须为、法无授权不可为，健全完善权力清单动态调整工作机制，根据经济社会发展需要以及上级部门要求，及时对清单的具体内容跟踪调整。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二是做好行政审批工作。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截至目前，受理12家企业申请实行不定时工作制和综合工时工作制，对12家企业进行现场调查，查阅企业规章制度，了解劳动用工情况，经审查准予12家企业实行综合计算工时工作制、4家企业实行不定时工作制。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三是加强信用监管监督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。切实落实“双随机，一公开”执法体制要求，制定“双随机”公开监管工作实施方案，设立抽查事项清单及执法人员名录库，落实“双随机”抽查机制。</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严格依法行政</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强化监察执法</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2" w:firstLineChars="200"/>
        <w:jc w:val="both"/>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聚焦根治欠薪</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持续推进根治欠薪，</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深入贯彻《保障农民工工资支付条例》，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开展根治欠薪专项行动</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，从源头上遏制建设领域拖欠农民工工资问题，切实维护农民工合法权益。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截至目前，</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共接收办理全国、省、市交办欠薪线索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1831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受</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理日常投诉欠薪案件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952</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件，实现欠薪案件举报投诉登记率100%，按期结案率98%以上；办理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12345便民热线诉求2244</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基层治理诉求166</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件，按期回复率100%。</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加强重点领域</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监督</w:t>
      </w:r>
      <w:r>
        <w:rPr>
          <w:rFonts w:hint="eastAsia" w:ascii="仿宋_GB2312" w:hAnsi="仿宋_GB2312" w:eastAsia="仿宋_GB2312" w:cs="仿宋_GB2312"/>
          <w:b/>
          <w:bCs/>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联合区市场监督管理局开展了“保护妇女儿童特殊群体权益及对用人单位遵守劳动用工法律法规专项检查”“规范劳动用工暨清理整顿人力资源市场秩序专项行动”，根据“双随机一公开”要求，分别抽取了38家、15家企业进行检查，检查结果已在国家企业信用信息公示系统公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三是加大行政执法力度。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依法预防和查处欠薪违法案件，</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积极推进劳动监察行政执法与刑事司法衔接工作，严厉打击恶意拖欠拒不支付劳动报酬的违法犯罪行为，切实维护劳动者合法权益。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截至目前，共作出行政处罚5起，</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向公安部门移交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起涉嫌拒不支付劳动报酬犯罪案件。</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楷体_GB2312" w:hAnsi="楷体_GB2312" w:eastAsia="楷体_GB2312" w:cs="楷体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lang w:eastAsia="zh-CN"/>
          <w14:textFill>
            <w14:solidFill>
              <w14:schemeClr w14:val="tx1"/>
            </w14:solidFill>
          </w14:textFill>
        </w:rPr>
        <w:t>）加大普法宣传，</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提高法治意识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w:t>
      </w:r>
      <w:r>
        <w:rPr>
          <w:rFonts w:hint="eastAsia" w:ascii="仿宋_GB2312" w:hAnsi="仿宋_GB2312" w:eastAsia="仿宋_GB2312" w:cs="仿宋_GB2312"/>
          <w:b/>
          <w:bCs/>
          <w:color w:val="000000" w:themeColor="text1"/>
          <w:sz w:val="32"/>
          <w:szCs w:val="32"/>
          <w14:textFill>
            <w14:solidFill>
              <w14:schemeClr w14:val="tx1"/>
            </w14:solidFill>
          </w14:textFill>
        </w:rPr>
        <w:t>普法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常态化</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全面实施“谁执法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谁普法”普法责任制，</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w:t>
      </w:r>
      <w:r>
        <w:rPr>
          <w:rFonts w:hint="eastAsia" w:ascii="仿宋_GB2312" w:hAnsi="仿宋_GB2312" w:eastAsia="仿宋_GB2312" w:cs="仿宋_GB2312"/>
          <w:color w:val="000000" w:themeColor="text1"/>
          <w:sz w:val="32"/>
          <w:szCs w:val="32"/>
          <w:lang w:eastAsia="zh-CN"/>
          <w14:textFill>
            <w14:solidFill>
              <w14:schemeClr w14:val="tx1"/>
            </w14:solidFill>
          </w14:textFill>
        </w:rPr>
        <w:t>广泛宣传《劳动法》《劳动合同法》《劳动保障监察条例》</w:t>
      </w:r>
      <w:r>
        <w:rPr>
          <w:rFonts w:hint="eastAsia" w:ascii="仿宋_GB2312" w:hAnsi="仿宋_GB2312" w:eastAsia="仿宋_GB2312" w:cs="仿宋_GB2312"/>
          <w:color w:val="000000" w:themeColor="text1"/>
          <w:sz w:val="32"/>
          <w:szCs w:val="32"/>
          <w14:textFill>
            <w14:solidFill>
              <w14:schemeClr w14:val="tx1"/>
            </w14:solidFill>
          </w14:textFill>
        </w:rPr>
        <w:t>《保障农民工工资支付条例》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等劳动</w:t>
      </w:r>
      <w:r>
        <w:rPr>
          <w:rFonts w:hint="eastAsia" w:ascii="仿宋_GB2312" w:hAnsi="仿宋_GB2312" w:eastAsia="仿宋_GB2312" w:cs="仿宋_GB2312"/>
          <w:color w:val="000000" w:themeColor="text1"/>
          <w:sz w:val="32"/>
          <w:szCs w:val="32"/>
          <w14:textFill>
            <w14:solidFill>
              <w14:schemeClr w14:val="tx1"/>
            </w14:solidFill>
          </w14:textFill>
        </w:rPr>
        <w:t>保障法律法规，提高用人单位依法用工和劳动者依法维权的法律意识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二是普法知识融合化。</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坚持把贯彻劳动保障法律法规与整治非法用工、打击违法犯罪行为、整治劳动力资源市场、规范建筑领域劳动用工等结合起来，让普法工作融于日常，使普法教育潜移默化。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三是普法教育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内部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化</w:t>
      </w:r>
      <w:r>
        <w:rPr>
          <w:rFonts w:hint="eastAsia" w:ascii="仿宋_GB2312" w:hAnsi="仿宋_GB2312" w:eastAsia="仿宋_GB2312" w:cs="仿宋_GB2312"/>
          <w:color w:val="000000" w:themeColor="text1"/>
          <w:sz w:val="32"/>
          <w:szCs w:val="32"/>
          <w14:textFill>
            <w14:solidFill>
              <w14:schemeClr w14:val="tx1"/>
            </w14:solidFill>
          </w14:textFill>
        </w:rPr>
        <w:t>。坚持工作例会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劳动保障</w:t>
      </w:r>
      <w:r>
        <w:rPr>
          <w:rFonts w:hint="eastAsia" w:ascii="仿宋_GB2312" w:hAnsi="仿宋_GB2312" w:eastAsia="仿宋_GB2312" w:cs="仿宋_GB2312"/>
          <w:color w:val="000000" w:themeColor="text1"/>
          <w:sz w:val="32"/>
          <w:szCs w:val="32"/>
          <w14:textFill>
            <w14:solidFill>
              <w14:schemeClr w14:val="tx1"/>
            </w14:solidFill>
          </w14:textFill>
        </w:rPr>
        <w:t>专业法律知识培训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理论学习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典型案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例分析交流、业务技能练兵比武等载体，丰富法治学习内容和形式，查找案件办理中存在的难点，纠正执法程序上的错误，强化执法人员的法治意识，规范执法行为，提高依法行政能力。</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存在的问题</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一是执法队伍建设有待进一步加强。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随着人社执法队伍机构改革，执法机构设置还不明确，行政执法人员力量薄弱，新生力量不足，但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人社工作涉及法律法规繁多复杂，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面广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、工作量大，迫切需要加强执法队伍建设，提高人社执法能力。</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二是依法行政能力有待进一步提高。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动保障监察工作尤其是农民工工资支付保障工作关乎群众切身利益，但工作形势依然严峻复杂、任务依然艰巨繁重，执法人员应不断学习和了解最新的法律法规，以确保他们具备专业的法律知识水平和执法技能，不断提升专业素养和能力。</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下一步工作打算</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强化法治学习，深化法治思维。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把学习宣传贯彻习近平法治思想作为一项重要政治任务，纳入人社工作要点重点推进，作为党组理论学习中心组学习、干部职工集中学习、基层党支部“三会一课”等的重要学习内容常态化开展学习。抓好领导干部“关键少数”群体，坚决做到对法治建设重要工作亲自部署、重大问题亲自过问、重点环节亲自协调、重要任务亲自督办，把各项工作纳入法治化轨道。</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（二）规范</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依法行政，提高法治水平。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组织行政执法人员学习《行政处罚法》、行政执法三项制度等法律法规，继续开展根治欠薪、清理整顿人力资源市场秩序等专项行动，全面落实行政执法“三项制度”，推进严格规范公正文明执法，打造高质量的人社行政执法队伍。充分利用“互联网+监管”“双随机、一公开”综合监管平台开展行政检查，上传执法信息，提升人社法治化水平。</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（三）优化舆论环境，营造法治氛围。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做好人社领域普法工作，落实“谁执法谁普法、谁主管谁负责”的普法责任，按照人社系统“八五普法”规划部署制定普法责任清单，细化普法责任，充分发挥社会保障、就业创业、人事人才、劳动关系等部门职责，将普法贯穿到服务和执法全过程，不断扩大法治宣传教育的深度和广度，促进社会公众进一步关注、遵守人社法律法规，形成良好的人社法治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（四）聚焦规范运行，深化政务公开。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推进政务服务改革工作，贯彻落实国家、省和市“一件事一次办”改革新要求，加强自助服务引导、落实告知承诺“减证”事项，持续提升政务服务标准化规范化便利化水平，推进政务服务线上线下深度融合、协调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701"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0B389"/>
    <w:multiLevelType w:val="singleLevel"/>
    <w:tmpl w:val="5D60B3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zMzZWUyMmVhZWUzM2E4Y2FjYjIyZjFlNWZkZWEifQ=="/>
  </w:docVars>
  <w:rsids>
    <w:rsidRoot w:val="00000000"/>
    <w:rsid w:val="011361B5"/>
    <w:rsid w:val="01763BCE"/>
    <w:rsid w:val="02363FDF"/>
    <w:rsid w:val="05F6352F"/>
    <w:rsid w:val="07E04497"/>
    <w:rsid w:val="098B1727"/>
    <w:rsid w:val="0EA31D7A"/>
    <w:rsid w:val="101F18D4"/>
    <w:rsid w:val="134A38F4"/>
    <w:rsid w:val="136947FC"/>
    <w:rsid w:val="167B2791"/>
    <w:rsid w:val="173D0A08"/>
    <w:rsid w:val="1B083FB5"/>
    <w:rsid w:val="1CCB2BC8"/>
    <w:rsid w:val="2212139D"/>
    <w:rsid w:val="2305178D"/>
    <w:rsid w:val="23204D90"/>
    <w:rsid w:val="26854DDF"/>
    <w:rsid w:val="277E08D4"/>
    <w:rsid w:val="278A1187"/>
    <w:rsid w:val="28043432"/>
    <w:rsid w:val="28687826"/>
    <w:rsid w:val="2894533D"/>
    <w:rsid w:val="2AA72A4D"/>
    <w:rsid w:val="2D1230D6"/>
    <w:rsid w:val="2EFA3B0A"/>
    <w:rsid w:val="31295CB7"/>
    <w:rsid w:val="31566D3A"/>
    <w:rsid w:val="32ED471A"/>
    <w:rsid w:val="339662FF"/>
    <w:rsid w:val="358E6A31"/>
    <w:rsid w:val="35A567AB"/>
    <w:rsid w:val="36221FBE"/>
    <w:rsid w:val="372E4027"/>
    <w:rsid w:val="37EB3801"/>
    <w:rsid w:val="39D215E2"/>
    <w:rsid w:val="3AB5770D"/>
    <w:rsid w:val="3B454465"/>
    <w:rsid w:val="3D747C66"/>
    <w:rsid w:val="3EF266A0"/>
    <w:rsid w:val="3FD634AE"/>
    <w:rsid w:val="402B37FA"/>
    <w:rsid w:val="436B215F"/>
    <w:rsid w:val="43805C0B"/>
    <w:rsid w:val="455A248C"/>
    <w:rsid w:val="4A093041"/>
    <w:rsid w:val="4A171CA1"/>
    <w:rsid w:val="4B7D4202"/>
    <w:rsid w:val="4BD83983"/>
    <w:rsid w:val="4D572089"/>
    <w:rsid w:val="50232ED1"/>
    <w:rsid w:val="50642410"/>
    <w:rsid w:val="54DE3F56"/>
    <w:rsid w:val="56023989"/>
    <w:rsid w:val="56D73EF4"/>
    <w:rsid w:val="57192751"/>
    <w:rsid w:val="59944AA9"/>
    <w:rsid w:val="5D015BB7"/>
    <w:rsid w:val="5FBC7B73"/>
    <w:rsid w:val="60EE2F6F"/>
    <w:rsid w:val="673F246D"/>
    <w:rsid w:val="67451AE9"/>
    <w:rsid w:val="68827E0E"/>
    <w:rsid w:val="6EAE7221"/>
    <w:rsid w:val="6F8A5296"/>
    <w:rsid w:val="7203651E"/>
    <w:rsid w:val="72FC3780"/>
    <w:rsid w:val="7BF63BBF"/>
    <w:rsid w:val="7E754DC3"/>
    <w:rsid w:val="7FB54A72"/>
    <w:rsid w:val="7FC76394"/>
    <w:rsid w:val="BF7FA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hAnsi="华文中宋" w:eastAsia="仿宋_GB2312"/>
      <w:bCs/>
      <w:kern w:val="44"/>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Indent"/>
    <w:basedOn w:val="1"/>
    <w:qFormat/>
    <w:uiPriority w:val="0"/>
    <w:pPr>
      <w:ind w:firstLine="42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2769</Words>
  <Characters>2806</Characters>
  <Lines>0</Lines>
  <Paragraphs>0</Paragraphs>
  <TotalTime>4</TotalTime>
  <ScaleCrop>false</ScaleCrop>
  <LinksUpToDate>false</LinksUpToDate>
  <CharactersWithSpaces>2806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2022-12-23T17:39:00Z</dcterms:created>
  <dc:creator>臭臭</dc:creator>
  <cp:lastModifiedBy>teat</cp:lastModifiedBy>
  <dcterms:modified xsi:type="dcterms:W3CDTF">2025-03-28T16:26:19Z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BBDC9C5175A242649A7F913495CF8AAA_13</vt:lpwstr>
  </property>
  <property fmtid="{D5CDD505-2E9C-101B-9397-08002B2CF9AE}" pid="4" name="KSOTemplateDocerSaveRecord">
    <vt:lpwstr>eyJoZGlkIjoiN2JmM2YxN2YxOTA0NGZkZmRhNTc4ZjNiOTAxM2Y4MDgiLCJ1c2VySWQiOiI0NTc4NDczNTMifQ==</vt:lpwstr>
  </property>
</Properties>
</file>