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600" w:lineRule="exact"/>
        <w:jc w:val="center"/>
        <w:outlineLvl w:val="0"/>
        <w:rPr>
          <w:rFonts w:ascii="方正小标宋简体" w:hAnsi="方正大标宋简体" w:eastAsia="方正小标宋简体" w:cs="方正大标宋简体"/>
          <w:bCs/>
          <w:color w:val="000000"/>
          <w:spacing w:val="6"/>
          <w:sz w:val="44"/>
        </w:rPr>
      </w:pPr>
      <w:r>
        <w:rPr>
          <w:rFonts w:hint="eastAsia" w:ascii="方正小标宋简体" w:hAnsi="方正大标宋简体" w:eastAsia="方正小标宋简体" w:cs="方正大标宋简体"/>
          <w:bCs/>
          <w:color w:val="000000"/>
          <w:spacing w:val="6"/>
          <w:sz w:val="44"/>
          <w:lang w:eastAsia="zh-CN"/>
        </w:rPr>
        <w:t>2021</w:t>
      </w:r>
      <w:r>
        <w:rPr>
          <w:rFonts w:hint="eastAsia" w:ascii="方正小标宋简体" w:hAnsi="方正大标宋简体" w:eastAsia="方正小标宋简体" w:cs="方正大标宋简体"/>
          <w:bCs/>
          <w:color w:val="000000"/>
          <w:spacing w:val="6"/>
          <w:sz w:val="44"/>
        </w:rPr>
        <w:t>年地方政府债务决算公开</w:t>
      </w:r>
    </w:p>
    <w:p>
      <w:pPr>
        <w:spacing w:after="0" w:line="600" w:lineRule="exact"/>
        <w:jc w:val="center"/>
        <w:outlineLvl w:val="0"/>
        <w:rPr>
          <w:rFonts w:ascii="方正小标宋简体" w:hAnsi="方正大标宋简体" w:eastAsia="方正小标宋简体" w:cs="方正大标宋简体"/>
          <w:bCs/>
          <w:color w:val="000000"/>
          <w:spacing w:val="6"/>
          <w:sz w:val="44"/>
        </w:rPr>
      </w:pPr>
    </w:p>
    <w:p>
      <w:pPr>
        <w:spacing w:after="0" w:line="600" w:lineRule="exact"/>
        <w:ind w:firstLine="31680" w:firstLineChars="200"/>
        <w:rPr>
          <w:rFonts w:ascii="Times New Roman" w:hAnsi="Times New Roman" w:eastAsia="楷体_GB2312"/>
          <w:b/>
          <w:spacing w:val="4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4"/>
          <w:sz w:val="32"/>
          <w:szCs w:val="32"/>
        </w:rPr>
        <w:t>一、西工区地方政府债券限额及余额情况</w:t>
      </w:r>
    </w:p>
    <w:p>
      <w:pPr>
        <w:spacing w:after="0" w:line="600" w:lineRule="exact"/>
        <w:ind w:firstLine="31680" w:firstLineChars="200"/>
        <w:rPr>
          <w:rFonts w:hint="eastAsia"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仿宋_GB2312"/>
          <w:spacing w:val="4"/>
          <w:sz w:val="32"/>
          <w:szCs w:val="32"/>
        </w:rPr>
        <w:t>根据《洛阳市财政局关于下达2020年政府债务限额调整结果和2021年政府债务限额的通知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》（洛财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债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〔</w:t>
      </w:r>
      <w:r>
        <w:rPr>
          <w:rFonts w:ascii="Times New Roman" w:hAnsi="Times New Roman" w:eastAsia="仿宋_GB2312"/>
          <w:spacing w:val="4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〕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号）文件，省财政厅核定我区债务限额1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2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9亿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元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，其中：一般债限额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08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亿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元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；专项债限额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2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亿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元。截至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年底，我区政府债务余额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9.86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亿元，其中：一般债余额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7.763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亿元</w:t>
      </w:r>
      <w:bookmarkStart w:id="0" w:name="_GoBack"/>
      <w:bookmarkEnd w:id="0"/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；专项债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余额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2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亿元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。</w:t>
      </w:r>
    </w:p>
    <w:p>
      <w:pPr>
        <w:spacing w:after="0" w:line="600" w:lineRule="exact"/>
        <w:ind w:firstLine="31680" w:firstLineChars="200"/>
        <w:rPr>
          <w:rFonts w:ascii="Times New Roman" w:hAnsi="Times New Roman" w:eastAsia="楷体_GB2312"/>
          <w:b/>
          <w:spacing w:val="4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4"/>
          <w:sz w:val="32"/>
          <w:szCs w:val="32"/>
        </w:rPr>
        <w:t>二、</w:t>
      </w:r>
      <w:r>
        <w:rPr>
          <w:rFonts w:hint="eastAsia" w:ascii="Times New Roman" w:hAnsi="Times New Roman" w:eastAsia="楷体_GB2312"/>
          <w:b/>
          <w:spacing w:val="4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楷体_GB2312"/>
          <w:b/>
          <w:spacing w:val="4"/>
          <w:sz w:val="32"/>
          <w:szCs w:val="32"/>
        </w:rPr>
        <w:t>地方政府债券发行、使用及还本付息情况</w:t>
      </w:r>
    </w:p>
    <w:p>
      <w:pPr>
        <w:spacing w:after="0" w:line="600" w:lineRule="exact"/>
        <w:ind w:firstLine="31680" w:firstLineChars="200"/>
        <w:rPr>
          <w:rFonts w:hint="eastAsia"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年，省财政厅发行下达西工区政府债券1.64亿元，其中发行新增一般债券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0.86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亿元，发行新增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专项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债券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2.1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亿元，发行置换债券和再融资债券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0.78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亿元，年度全年支付政府债券偿还利息0.2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其中：一般债利息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0.25亿元；专项债利息0.01亿元。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无逾期情况发生。</w:t>
      </w:r>
    </w:p>
    <w:p>
      <w:pPr>
        <w:spacing w:after="0" w:line="600" w:lineRule="exact"/>
        <w:ind w:firstLine="31680" w:firstLineChars="200"/>
        <w:rPr>
          <w:rFonts w:ascii="Times New Roman" w:hAnsi="Times New Roman" w:eastAsia="楷体_GB2312"/>
          <w:b/>
          <w:spacing w:val="4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4"/>
          <w:sz w:val="32"/>
          <w:szCs w:val="32"/>
        </w:rPr>
        <w:t>三、</w:t>
      </w:r>
      <w:r>
        <w:rPr>
          <w:rFonts w:hint="eastAsia" w:ascii="Times New Roman" w:hAnsi="Times New Roman" w:eastAsia="楷体_GB2312"/>
          <w:b/>
          <w:spacing w:val="4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楷体_GB2312"/>
          <w:b/>
          <w:spacing w:val="4"/>
          <w:sz w:val="32"/>
          <w:szCs w:val="32"/>
        </w:rPr>
        <w:t>年地方政府债券使用安排</w:t>
      </w:r>
    </w:p>
    <w:p>
      <w:pPr>
        <w:spacing w:after="0" w:line="600" w:lineRule="exact"/>
        <w:ind w:firstLine="31680" w:firstLineChars="200"/>
        <w:rPr>
          <w:rFonts w:hint="eastAsia"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年，西工区新增一般债券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0.86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其中：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0.43亿元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用于涧滨北路建设工程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0.43亿元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用于西工区涧东中学建设工程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新增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专项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债券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2.1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其中：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1亿元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用于河南洛阳工业园区标准化厂房及配套设施建设项目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1.1亿元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用于西工区老旧小区改造提质项目四期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置换债券和再融资债券</w:t>
      </w:r>
      <w:r>
        <w:rPr>
          <w:rFonts w:hint="eastAsia" w:ascii="Times New Roman" w:hAnsi="Times New Roman" w:eastAsia="仿宋_GB2312"/>
          <w:spacing w:val="4"/>
          <w:sz w:val="32"/>
          <w:szCs w:val="32"/>
          <w:lang w:val="en-US" w:eastAsia="zh-CN"/>
        </w:rPr>
        <w:t>0.78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亿元，用于偿还到期地方政府债券本金。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仿宋_GB2312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style w:type="paragraph" w:default="1" w:styleId="1">
    <w:name w:val="Normal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page number"/>
    <w:basedOn w:val="4"/>
    <w:rPr/>
  </w:style>
  <w:style w:type="character" w:customStyle="1" w:styleId="6">
    <w:name w:val="Header Char"/>
    <w:basedOn w:val="4"/>
    <w:link w:val="3"/>
    <w:semiHidden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</Words>
  <Characters>337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terms:modified xsi:type="dcterms:W3CDTF">2023-05-08T10:30:24Z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