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西工区202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年度“三公”经费支出情况说明</w:t>
      </w:r>
    </w:p>
    <w:p>
      <w:pPr>
        <w:spacing w:line="5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根据部门决算汇总统计，202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sz w:val="28"/>
          <w:szCs w:val="28"/>
        </w:rPr>
        <w:t>年度西工区“三公”经费支出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207.25</w:t>
      </w:r>
      <w:r>
        <w:rPr>
          <w:rFonts w:hint="eastAsia" w:asciiTheme="minorEastAsia" w:hAnsiTheme="minorEastAsia"/>
          <w:sz w:val="28"/>
          <w:szCs w:val="28"/>
        </w:rPr>
        <w:t>万元，较去年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增长64.05</w:t>
      </w:r>
      <w:r>
        <w:rPr>
          <w:rFonts w:hint="eastAsia" w:asciiTheme="minorEastAsia" w:hAnsiTheme="minorEastAsia"/>
          <w:sz w:val="28"/>
          <w:szCs w:val="28"/>
        </w:rPr>
        <w:t>万元，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增长44.70</w:t>
      </w:r>
      <w:r>
        <w:rPr>
          <w:rFonts w:hint="eastAsia" w:asciiTheme="minorEastAsia" w:hAnsiTheme="minorEastAsia"/>
          <w:sz w:val="28"/>
          <w:szCs w:val="28"/>
        </w:rPr>
        <w:t>%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增长的主要原因机关事务管理局购买新能源车2辆，商务车2辆。</w:t>
      </w:r>
      <w:r>
        <w:rPr>
          <w:rFonts w:hint="eastAsia" w:asciiTheme="minorEastAsia" w:hAnsiTheme="minorEastAsia"/>
          <w:sz w:val="28"/>
          <w:szCs w:val="28"/>
        </w:rPr>
        <w:t>其中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公务用车购置84.92万元，</w:t>
      </w:r>
      <w:r>
        <w:rPr>
          <w:rFonts w:hint="eastAsia" w:asciiTheme="minorEastAsia" w:hAnsiTheme="minorEastAsia"/>
          <w:sz w:val="28"/>
          <w:szCs w:val="28"/>
        </w:rPr>
        <w:t>公车运行维护费下降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23.38</w:t>
      </w:r>
      <w:r>
        <w:rPr>
          <w:rFonts w:hint="eastAsia" w:asciiTheme="minorEastAsia" w:hAnsiTheme="minorEastAsia"/>
          <w:sz w:val="28"/>
          <w:szCs w:val="28"/>
        </w:rPr>
        <w:t>万元，下降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16.60</w:t>
      </w:r>
      <w:r>
        <w:rPr>
          <w:rFonts w:hint="eastAsia" w:asciiTheme="minorEastAsia" w:hAnsiTheme="minorEastAsia"/>
          <w:sz w:val="28"/>
          <w:szCs w:val="28"/>
        </w:rPr>
        <w:t>%，公务接待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增长2.53</w:t>
      </w:r>
      <w:r>
        <w:rPr>
          <w:rFonts w:hint="eastAsia" w:asciiTheme="minorEastAsia" w:hAnsiTheme="minorEastAsia"/>
          <w:sz w:val="28"/>
          <w:szCs w:val="28"/>
        </w:rPr>
        <w:t>万元，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增长102</w:t>
      </w:r>
      <w:r>
        <w:rPr>
          <w:rFonts w:hint="eastAsia" w:asciiTheme="minorEastAsia" w:hAnsiTheme="minorEastAsia"/>
          <w:sz w:val="28"/>
          <w:szCs w:val="28"/>
        </w:rPr>
        <w:t>%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下一步将会继续严格控制“三公经费，进一步强化“三公”经费执行管理，大力推行建立和完善厉行节约的长效机制。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hNDdkM2Q4ZTk5ZGJmMDMyMDgyM2UzYjk3YjliYTcifQ=="/>
  </w:docVars>
  <w:rsids>
    <w:rsidRoot w:val="702736BD"/>
    <w:rsid w:val="03E07A24"/>
    <w:rsid w:val="1FFB7C68"/>
    <w:rsid w:val="3C4D2BCC"/>
    <w:rsid w:val="4AAE5753"/>
    <w:rsid w:val="702736BD"/>
    <w:rsid w:val="767B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223</Characters>
  <Lines>0</Lines>
  <Paragraphs>0</Paragraphs>
  <TotalTime>23</TotalTime>
  <ScaleCrop>false</ScaleCrop>
  <LinksUpToDate>false</LinksUpToDate>
  <CharactersWithSpaces>224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2023-05-08T01:08:00Z</dcterms:created>
  <dc:creator>深燊昝</dc:creator>
  <cp:lastModifiedBy>深燊昝</cp:lastModifiedBy>
  <dcterms:modified xsi:type="dcterms:W3CDTF">2023-05-08T01:32:37Z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B731EA77326A4071A041A78EC0DDFE87_11</vt:lpwstr>
  </property>
</Properties>
</file>