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3F0A3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2020年度</w:t>
      </w:r>
    </w:p>
    <w:p w:rsidR="00D6391A" w:rsidRDefault="003F0A3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洛北街道办事处部门决算</w:t>
      </w: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D6391A">
      <w:pPr>
        <w:jc w:val="center"/>
        <w:rPr>
          <w:rFonts w:ascii="黑体" w:eastAsia="黑体" w:hAnsi="黑体" w:cs="黑体"/>
          <w:sz w:val="52"/>
          <w:szCs w:val="52"/>
        </w:rPr>
      </w:pPr>
    </w:p>
    <w:p w:rsidR="00D6391A" w:rsidRDefault="003F0A33">
      <w:pPr>
        <w:jc w:val="center"/>
        <w:rPr>
          <w:rFonts w:ascii="黑体" w:eastAsia="黑体" w:hAnsi="黑体" w:cs="黑体"/>
          <w:sz w:val="32"/>
          <w:szCs w:val="32"/>
        </w:rPr>
        <w:sectPr w:rsidR="00D639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  <w:r>
        <w:rPr>
          <w:rFonts w:ascii="黑体" w:eastAsia="黑体" w:hAnsi="黑体" w:cs="黑体" w:hint="eastAsia"/>
          <w:sz w:val="32"/>
          <w:szCs w:val="32"/>
        </w:rPr>
        <w:t>二〇二一年十月</w:t>
      </w:r>
    </w:p>
    <w:p w:rsidR="00D6391A" w:rsidRDefault="003F0A3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目　　录</w:t>
      </w:r>
    </w:p>
    <w:p w:rsidR="00D6391A" w:rsidRDefault="003F0A3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　洛北街道办事处部门概况</w:t>
      </w:r>
    </w:p>
    <w:p w:rsidR="00D6391A" w:rsidRDefault="003F0A33">
      <w:pPr>
        <w:numPr>
          <w:ilvl w:val="0"/>
          <w:numId w:val="1"/>
        </w:num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部门职责</w:t>
      </w:r>
    </w:p>
    <w:p w:rsidR="00D6391A" w:rsidRDefault="003F0A33">
      <w:pPr>
        <w:numPr>
          <w:ilvl w:val="0"/>
          <w:numId w:val="1"/>
        </w:num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机构设置</w:t>
      </w:r>
    </w:p>
    <w:p w:rsidR="00D6391A" w:rsidRDefault="003F0A3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　　2020年度部门决算表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七、一般公共预算财政拨款“三公”经费支出决算表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八、政府性基金预算财政拨款收入支出决算表</w:t>
      </w:r>
    </w:p>
    <w:p w:rsidR="00D6391A" w:rsidRDefault="003F0A3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　　2020年度部门决算情况说明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一、收入支出决算总体情况说明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四、财政拨款收入支出决算总体情况说明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八、预算绩效情况说明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九、政府性基金预算财政拨款支出决算情况说明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十、机关运行经费支出情况说明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十一、政府采购支出情况说明</w:t>
      </w:r>
    </w:p>
    <w:p w:rsidR="00D6391A" w:rsidRDefault="003F0A33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十二、国有资产占用情况说明</w:t>
      </w:r>
    </w:p>
    <w:p w:rsidR="00D6391A" w:rsidRDefault="003F0A3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　　名词解释</w:t>
      </w:r>
    </w:p>
    <w:p w:rsidR="00D6391A" w:rsidRDefault="00D6391A">
      <w:pPr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D6391A" w:rsidRDefault="00D6391A">
      <w:pPr>
        <w:jc w:val="left"/>
        <w:rPr>
          <w:rFonts w:ascii="黑体" w:eastAsia="黑体" w:hAnsi="黑体" w:cs="黑体"/>
          <w:sz w:val="32"/>
          <w:szCs w:val="32"/>
        </w:rPr>
        <w:sectPr w:rsidR="00D6391A">
          <w:footerReference w:type="even" r:id="rId14"/>
          <w:footerReference w:type="default" r:id="rId15"/>
          <w:pgSz w:w="11906" w:h="16838"/>
          <w:pgMar w:top="1440" w:right="1531" w:bottom="1440" w:left="1587" w:header="850" w:footer="992" w:gutter="0"/>
          <w:pgNumType w:fmt="numberInDash" w:start="1"/>
          <w:cols w:space="720"/>
          <w:docGrid w:type="lines" w:linePitch="317"/>
        </w:sect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3F0A33">
      <w:pPr>
        <w:widowControl/>
        <w:jc w:val="center"/>
        <w:outlineLvl w:val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sz w:val="48"/>
          <w:szCs w:val="48"/>
        </w:rPr>
        <w:t>第一部分  洛北街道办事处概况</w:t>
      </w: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  <w:sectPr w:rsidR="00D6391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D6391A" w:rsidRDefault="003F0A33">
      <w:pPr>
        <w:widowControl/>
        <w:ind w:firstLineChars="200" w:firstLine="640"/>
        <w:jc w:val="left"/>
        <w:outlineLvl w:val="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一、部门</w:t>
      </w:r>
      <w:r>
        <w:rPr>
          <w:rFonts w:ascii="黑体" w:eastAsia="黑体" w:hAnsi="黑体" w:cs="黑体" w:hint="eastAsia"/>
          <w:bCs/>
          <w:sz w:val="32"/>
          <w:szCs w:val="32"/>
        </w:rPr>
        <w:t>职责</w:t>
      </w:r>
    </w:p>
    <w:p w:rsidR="00D6391A" w:rsidRDefault="003F0A33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认真贯彻党的路线、方针、政策和国家的法律法规；执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行上级党委、政府的决议、决定、命令；研究决定加强党的建设、推进区域发展、组织公共服务、实施综合管理、指导基层自治、维护安全稳定、动员社会参与等方面的重大问题；抓好决策部署的组织实施和督促落实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．落实党建工作责任制，做好纪检监察、组织、宣传、统战、政法工作，做好工会、共青团、妇联等群团工作。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．加强党的基层组织建设，充分发挥街道、社区党组织的领导核心作用和党员先锋模范作用，做好社区各类社会组织的党建工作和发展党员工作；加强党员队伍建设，抓好党员教育工作。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．负责辖区内民族宗教、民政、退役军人、人力资源、社会保障、财政、教育、科技、文化旅游、体育、卫生健康、扶贫开发、人民武装等行政工作，促进社会事业发展。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．承担辖区平安建设、社会治安综合治理、公共安全、司法行政等有关工作。负责辖区内人口管理、社会管理等与社会发展相关的行政工作。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．抓好精神文明建设。落实上级意识形态工作政策和措施，负责辖区内公共文化建设，加强社会主义核心价值观的宣传引导，负责组织群众性文化体育活动，组织开展各</w:t>
      </w:r>
      <w:r>
        <w:rPr>
          <w:rFonts w:hint="eastAsia"/>
          <w:sz w:val="32"/>
          <w:szCs w:val="32"/>
        </w:rPr>
        <w:lastRenderedPageBreak/>
        <w:t>项创建工作。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．负责辖区内基层组织建设。指导、支持和帮助辖区内居民委员会等基层群众性自治组织建设，健全自治平台；负责社区建设与管理；负责对辖区内物业管理进行日常监督；协助组织成立业主委员会等工作。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．服务辖区经济发展，负责采集辖区内企业信息、促进项目发展、服务驻区企业、优化投资环境等工作；负责街道办事处财政管理工作；协同做好辖区内的征迁改造及项目建设工作。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．贯彻落实国家生态环境法律、法规、政策；负责街道行政区域内的生态环境保护相关工作。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10. </w:t>
      </w:r>
      <w:r>
        <w:rPr>
          <w:rFonts w:hint="eastAsia"/>
          <w:sz w:val="32"/>
          <w:szCs w:val="32"/>
        </w:rPr>
        <w:t>贯彻落实国家应急和安全生产法律、法规、政策；做好辖区内的应急和安全生产监管、安全隐患排查、应急救援、消防安全和食品安全监管工作。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11. </w:t>
      </w:r>
      <w:r>
        <w:rPr>
          <w:rFonts w:hint="eastAsia"/>
          <w:sz w:val="32"/>
          <w:szCs w:val="32"/>
        </w:rPr>
        <w:t>负责统筹协调、组织指挥辖区内派驻和基层执法力量开展综合执法工作；牵头建立综合行政执法平台；负责做好辖区内城市创建协助工作。</w:t>
      </w:r>
    </w:p>
    <w:p w:rsidR="00D6391A" w:rsidRDefault="003F0A33">
      <w:pPr>
        <w:ind w:left="480" w:hangingChars="150" w:hanging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12. </w:t>
      </w:r>
      <w:r>
        <w:rPr>
          <w:rFonts w:hint="eastAsia"/>
          <w:sz w:val="32"/>
          <w:szCs w:val="32"/>
        </w:rPr>
        <w:t>深化街道“只进一扇门”、“最多跑一次”改革，推进街道便民服务平台建设。负责制定完善街道权力清单、责任清单、公共服务清单，建立清单动态调整、公示机制，推进街道政务公开。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13. </w:t>
      </w:r>
      <w:r>
        <w:rPr>
          <w:rFonts w:hint="eastAsia"/>
          <w:sz w:val="32"/>
          <w:szCs w:val="32"/>
        </w:rPr>
        <w:t>做好人大、政协相关工作。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14. </w:t>
      </w:r>
      <w:r>
        <w:rPr>
          <w:rFonts w:hint="eastAsia"/>
          <w:sz w:val="32"/>
          <w:szCs w:val="32"/>
        </w:rPr>
        <w:t>完成区委、区政府交办的其他工作。</w:t>
      </w:r>
    </w:p>
    <w:p w:rsidR="00D6391A" w:rsidRDefault="003F0A33">
      <w:pPr>
        <w:widowControl/>
        <w:ind w:firstLineChars="200" w:firstLine="640"/>
        <w:jc w:val="left"/>
        <w:outlineLvl w:val="1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二、机构设置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洛北街道办事处内设机构</w:t>
      </w:r>
      <w:r>
        <w:rPr>
          <w:rFonts w:hint="eastAsia"/>
          <w:sz w:val="32"/>
          <w:szCs w:val="32"/>
        </w:rPr>
        <w:t xml:space="preserve"> 10 </w:t>
      </w:r>
      <w:r>
        <w:rPr>
          <w:rFonts w:hint="eastAsia"/>
          <w:sz w:val="32"/>
          <w:szCs w:val="32"/>
        </w:rPr>
        <w:t>个，包括：</w:t>
      </w:r>
      <w:r>
        <w:rPr>
          <w:rFonts w:hint="eastAsia"/>
          <w:sz w:val="32"/>
          <w:szCs w:val="32"/>
        </w:rPr>
        <w:t>5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个党政机构和</w:t>
      </w:r>
      <w:r>
        <w:rPr>
          <w:rFonts w:hint="eastAsia"/>
          <w:sz w:val="32"/>
          <w:szCs w:val="32"/>
        </w:rPr>
        <w:t xml:space="preserve"> 5 </w:t>
      </w:r>
      <w:r>
        <w:rPr>
          <w:rFonts w:hint="eastAsia"/>
          <w:sz w:val="32"/>
          <w:szCs w:val="32"/>
        </w:rPr>
        <w:t>个全供事业单位</w:t>
      </w:r>
      <w:r>
        <w:rPr>
          <w:rFonts w:hint="eastAsia"/>
          <w:sz w:val="32"/>
          <w:szCs w:val="32"/>
        </w:rPr>
        <w:t>: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党建工作办公室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民政所（社会事务办公室）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生态环境建设办公室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4. </w:t>
      </w:r>
      <w:r>
        <w:rPr>
          <w:rFonts w:hint="eastAsia"/>
          <w:sz w:val="32"/>
          <w:szCs w:val="32"/>
        </w:rPr>
        <w:t>应急和安全监管办公室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5. </w:t>
      </w:r>
      <w:r>
        <w:rPr>
          <w:rFonts w:hint="eastAsia"/>
          <w:sz w:val="32"/>
          <w:szCs w:val="32"/>
        </w:rPr>
        <w:t>综合执法办公室（综合行政执法队）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6. </w:t>
      </w:r>
      <w:r>
        <w:rPr>
          <w:rFonts w:hint="eastAsia"/>
          <w:sz w:val="32"/>
          <w:szCs w:val="32"/>
        </w:rPr>
        <w:t>文化卫生健康服务中心（新时代文明实践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中心）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7. </w:t>
      </w:r>
      <w:r>
        <w:rPr>
          <w:rFonts w:hint="eastAsia"/>
          <w:sz w:val="32"/>
          <w:szCs w:val="32"/>
        </w:rPr>
        <w:t>党政综合便民服务中心（退役军人服务站）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8. </w:t>
      </w:r>
      <w:r>
        <w:rPr>
          <w:rFonts w:hint="eastAsia"/>
          <w:sz w:val="32"/>
          <w:szCs w:val="32"/>
        </w:rPr>
        <w:t>社会治安综合治理中心（矛盾调解中心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9. </w:t>
      </w:r>
      <w:r>
        <w:rPr>
          <w:rFonts w:hint="eastAsia"/>
          <w:sz w:val="32"/>
          <w:szCs w:val="32"/>
        </w:rPr>
        <w:t>社区建设服务中心</w:t>
      </w:r>
    </w:p>
    <w:p w:rsidR="00D6391A" w:rsidRDefault="003F0A33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  <w:sz w:val="32"/>
          <w:szCs w:val="32"/>
        </w:rPr>
        <w:t>产业发展服务中心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从决算单位构成看，西工区洛北街道办事处部门决算包</w:t>
      </w:r>
    </w:p>
    <w:p w:rsidR="00D6391A" w:rsidRDefault="003F0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括：本级决算、所属单位决算。</w:t>
      </w:r>
    </w:p>
    <w:p w:rsidR="00D6391A" w:rsidRDefault="003F0A33">
      <w:pPr>
        <w:widowControl/>
        <w:ind w:firstLineChars="200" w:firstLine="6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32"/>
          <w:szCs w:val="32"/>
        </w:rPr>
        <w:t>纳入本部门2020年度部门决算编制范围的单位共1个，西工区洛北街道办事处为一级预算单位，没有二级预算单位，本决算为本级决算。</w:t>
      </w: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</w:p>
    <w:p w:rsidR="00D6391A" w:rsidRDefault="003F0A33">
      <w:pPr>
        <w:widowControl/>
        <w:ind w:firstLineChars="200" w:firstLine="960"/>
        <w:jc w:val="left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第二部分  2020年度部门决算表</w:t>
      </w:r>
    </w:p>
    <w:p w:rsidR="00D6391A" w:rsidRDefault="00D6391A">
      <w:pPr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rPr>
          <w:rFonts w:ascii="黑体" w:eastAsia="黑体" w:hAnsi="黑体" w:cs="黑体"/>
          <w:sz w:val="48"/>
          <w:szCs w:val="48"/>
        </w:rPr>
      </w:pPr>
    </w:p>
    <w:p w:rsidR="00D6391A" w:rsidRDefault="003F0A33">
      <w:pPr>
        <w:tabs>
          <w:tab w:val="left" w:pos="144"/>
        </w:tabs>
        <w:rPr>
          <w:rFonts w:ascii="黑体" w:eastAsia="黑体" w:hAnsi="黑体" w:cs="黑体"/>
          <w:sz w:val="48"/>
          <w:szCs w:val="48"/>
        </w:rPr>
        <w:sectPr w:rsidR="00D6391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  <w:r>
        <w:rPr>
          <w:rFonts w:ascii="黑体" w:eastAsia="黑体" w:hAnsi="黑体" w:cs="黑体"/>
          <w:sz w:val="48"/>
          <w:szCs w:val="48"/>
        </w:rPr>
        <w:tab/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7dd94cda40dedb9b1359dcb495f3c" style="width:415.2pt;height:452.4pt">
            <v:imagedata r:id="rId16" o:title="ed7dd94cda40dedb9b1359dcb495f3c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  <w:sectPr w:rsidR="00D6391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  <w:r w:rsidRPr="00B71C4C">
        <w:rPr>
          <w:rFonts w:ascii="仿宋_GB2312" w:eastAsia="仿宋_GB2312" w:hAnsi="仿宋_GB2312" w:cs="仿宋_GB2312"/>
          <w:sz w:val="32"/>
          <w:szCs w:val="32"/>
        </w:rPr>
        <w:pict>
          <v:shape id="_x0000_i1026" type="#_x0000_t75" alt="bf508f53b597087802197bc736a74c5" style="width:415.2pt;height:146.4pt">
            <v:imagedata r:id="rId17" o:title="bf508f53b597087802197bc736a74c5"/>
          </v:shape>
        </w:pict>
      </w:r>
      <w:bookmarkStart w:id="0" w:name="_GoBack"/>
      <w:bookmarkEnd w:id="0"/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27" type="#_x0000_t75" alt="4af2d1c845e72a6988d4cdd6f33a329" style="width:414.6pt;height:418.8pt">
            <v:imagedata r:id="rId18" o:title="4af2d1c845e72a6988d4cdd6f33a329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pict>
          <v:shape id="_x0000_i1028" type="#_x0000_t75" alt="b3e92a4f642a670e31479a4da3fd714" style="width:405pt;height:148.2pt">
            <v:imagedata r:id="rId19" o:title="b3e92a4f642a670e31479a4da3fd714"/>
          </v:shape>
        </w:pict>
      </w: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BC408A" w:rsidRDefault="00BC408A" w:rsidP="00BC408A">
      <w:pPr>
        <w:rPr>
          <w:rFonts w:ascii="仿宋_GB2312" w:eastAsia="仿宋_GB2312" w:hAnsi="仿宋_GB2312" w:cs="仿宋_GB2312"/>
          <w:sz w:val="32"/>
          <w:szCs w:val="32"/>
        </w:rPr>
      </w:pPr>
    </w:p>
    <w:p w:rsidR="00BC408A" w:rsidRDefault="00BC408A" w:rsidP="00BC408A">
      <w:pPr>
        <w:rPr>
          <w:rFonts w:ascii="仿宋_GB2312" w:eastAsia="仿宋_GB2312" w:hAnsi="仿宋_GB2312" w:cs="仿宋_GB2312"/>
          <w:sz w:val="32"/>
          <w:szCs w:val="32"/>
        </w:rPr>
      </w:pPr>
    </w:p>
    <w:p w:rsidR="00BC408A" w:rsidRDefault="00BC408A" w:rsidP="00BC408A">
      <w:pPr>
        <w:rPr>
          <w:rFonts w:ascii="仿宋_GB2312" w:eastAsia="仿宋_GB2312" w:hAnsi="仿宋_GB2312" w:cs="仿宋_GB2312"/>
          <w:sz w:val="32"/>
          <w:szCs w:val="32"/>
        </w:rPr>
      </w:pPr>
    </w:p>
    <w:p w:rsidR="00BC408A" w:rsidRPr="00BC408A" w:rsidRDefault="00B71C4C" w:rsidP="00BC408A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29" type="#_x0000_t75" alt="33d1a079d0d075b9a683d7af7b4676a" style="width:415.2pt;height:361.8pt">
            <v:imagedata r:id="rId20" o:title="33d1a079d0d075b9a683d7af7b4676a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pict>
          <v:shape id="_x0000_i1030" type="#_x0000_t75" alt="a4d1484782a0443aef403f2a01059bf" style="width:415.2pt;height:267pt">
            <v:imagedata r:id="rId21" o:title="a4d1484782a0443aef403f2a01059bf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31" type="#_x0000_t75" alt="3a3fd560d7c1f1f40b8fe7c810851e7" style="width:415.2pt;height:349.2pt">
            <v:imagedata r:id="rId22" o:title="3a3fd560d7c1f1f40b8fe7c810851e7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pict>
          <v:shape id="_x0000_i1032" type="#_x0000_t75" alt="63d6e3b6826253c40038288c1adf708" style="width:409.8pt;height:121.2pt">
            <v:imagedata r:id="rId23" o:title="63d6e3b6826253c40038288c1adf708"/>
          </v:shape>
        </w:pict>
      </w: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33" type="#_x0000_t75" alt="abad301ca2529ba8d12b92cfa691488" style="width:414.6pt;height:415.8pt">
            <v:imagedata r:id="rId24" o:title="abad301ca2529ba8d12b92cfa691488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pict>
          <v:shape id="_x0000_i1034" type="#_x0000_t75" alt="3a74c2cf6e3aea971ecb253a9145dce" style="width:415.2pt;height:238.2pt">
            <v:imagedata r:id="rId25" o:title="3a74c2cf6e3aea971ecb253a9145dce"/>
          </v:shape>
        </w:pict>
      </w: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35" type="#_x0000_t75" alt="95564dd2cc2c3bddd71529ca4625916" style="width:415.2pt;height:384.6pt">
            <v:imagedata r:id="rId26" o:title="95564dd2cc2c3bddd71529ca4625916"/>
          </v:shape>
        </w:pict>
      </w: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pict>
          <v:shape id="_x0000_i1036" type="#_x0000_t75" alt="9ebe6aa61eba1fe3b6161c23147c8ee" style="width:415.2pt;height:96.6pt">
            <v:imagedata r:id="rId27" o:title="9ebe6aa61eba1fe3b6161c23147c8ee"/>
          </v:shape>
        </w:pict>
      </w: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37" type="#_x0000_t75" alt="df5f4a61e48dd30135b1981f8829048" style="width:415.2pt;height:217.8pt">
            <v:imagedata r:id="rId28" o:title="df5f4a61e48dd30135b1981f8829048"/>
          </v:shape>
        </w:pict>
      </w: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B71C4C">
      <w:pPr>
        <w:rPr>
          <w:rFonts w:ascii="仿宋_GB2312" w:eastAsia="仿宋_GB2312" w:hAnsi="仿宋_GB2312" w:cs="仿宋_GB2312"/>
          <w:sz w:val="32"/>
          <w:szCs w:val="32"/>
        </w:rPr>
      </w:pPr>
      <w:r w:rsidRPr="00B71C4C">
        <w:rPr>
          <w:rFonts w:ascii="仿宋_GB2312" w:eastAsia="仿宋_GB2312" w:hAnsi="仿宋_GB2312" w:cs="仿宋_GB2312"/>
          <w:sz w:val="32"/>
          <w:szCs w:val="32"/>
        </w:rPr>
        <w:lastRenderedPageBreak/>
        <w:pict>
          <v:shape id="_x0000_i1038" type="#_x0000_t75" alt="97f738a616ce2f52036b3e452742cc4" style="width:415.2pt;height:281.4pt">
            <v:imagedata r:id="rId29" o:title="97f738a616ce2f52036b3e452742cc4"/>
          </v:shape>
        </w:pict>
      </w:r>
    </w:p>
    <w:p w:rsidR="00D6391A" w:rsidRDefault="00D6391A">
      <w:pPr>
        <w:rPr>
          <w:rFonts w:ascii="仿宋_GB2312" w:eastAsia="仿宋_GB2312" w:hAnsi="仿宋_GB2312" w:cs="仿宋_GB2312"/>
          <w:sz w:val="32"/>
          <w:szCs w:val="32"/>
        </w:rPr>
        <w:sectPr w:rsidR="00D6391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4115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"/>
        <w:gridCol w:w="1120"/>
        <w:gridCol w:w="90"/>
        <w:gridCol w:w="1349"/>
        <w:gridCol w:w="1774"/>
        <w:gridCol w:w="1802"/>
        <w:gridCol w:w="1801"/>
        <w:gridCol w:w="1802"/>
        <w:gridCol w:w="1801"/>
        <w:gridCol w:w="2449"/>
      </w:tblGrid>
      <w:tr w:rsidR="00D6391A">
        <w:trPr>
          <w:trHeight w:val="435"/>
        </w:trPr>
        <w:tc>
          <w:tcPr>
            <w:tcW w:w="1411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</w:p>
        </w:tc>
      </w:tr>
      <w:tr w:rsidR="00D6391A">
        <w:trPr>
          <w:gridBefore w:val="1"/>
          <w:wBefore w:w="127" w:type="dxa"/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D6391A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391A" w:rsidRDefault="003F0A3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公开03表</w:t>
            </w:r>
          </w:p>
        </w:tc>
      </w:tr>
    </w:tbl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3F0A33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第三部分  2020年度部门决算情况说明</w:t>
      </w:r>
    </w:p>
    <w:p w:rsidR="00D6391A" w:rsidRDefault="00D6391A">
      <w:pPr>
        <w:widowControl/>
        <w:jc w:val="left"/>
        <w:rPr>
          <w:rFonts w:ascii="黑体" w:eastAsia="黑体" w:hAnsi="黑体" w:cs="黑体"/>
          <w:sz w:val="48"/>
          <w:szCs w:val="48"/>
        </w:rPr>
        <w:sectPr w:rsidR="00D6391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D6391A" w:rsidRDefault="003F0A33">
      <w:pPr>
        <w:pStyle w:val="a4"/>
        <w:spacing w:before="55"/>
        <w:ind w:left="751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一、收入支出决算总体情况说明</w:t>
      </w:r>
    </w:p>
    <w:p w:rsidR="00D6391A" w:rsidRDefault="003F0A33">
      <w:pPr>
        <w:pStyle w:val="a4"/>
        <w:spacing w:before="170" w:line="338" w:lineRule="auto"/>
        <w:ind w:left="111" w:right="410" w:firstLine="640"/>
        <w:jc w:val="both"/>
        <w:rPr>
          <w:rFonts w:eastAsiaTheme="minorEastAsia"/>
        </w:rPr>
      </w:pPr>
      <w:r>
        <w:rPr>
          <w:rFonts w:ascii="Times New Roman" w:eastAsia="Times New Roman"/>
        </w:rPr>
        <w:t xml:space="preserve">2020 </w:t>
      </w:r>
      <w:r>
        <w:rPr>
          <w:spacing w:val="-8"/>
        </w:rPr>
        <w:t>年度收、支总计为</w:t>
      </w:r>
      <w:r>
        <w:rPr>
          <w:rFonts w:ascii="Times New Roman" w:eastAsia="宋体" w:hint="eastAsia"/>
        </w:rPr>
        <w:t>4556.81</w:t>
      </w:r>
      <w:r>
        <w:t xml:space="preserve">万元。与上年度相比， </w:t>
      </w:r>
      <w:r>
        <w:rPr>
          <w:spacing w:val="-3"/>
        </w:rPr>
        <w:t>收、支总计</w:t>
      </w:r>
      <w:r>
        <w:rPr>
          <w:rFonts w:hint="eastAsia"/>
          <w:spacing w:val="-3"/>
        </w:rPr>
        <w:t>减少326.30</w:t>
      </w:r>
      <w:r>
        <w:rPr>
          <w:spacing w:val="-7"/>
        </w:rPr>
        <w:t>万元，</w:t>
      </w:r>
      <w:r>
        <w:rPr>
          <w:rFonts w:hint="eastAsia"/>
          <w:spacing w:val="-7"/>
        </w:rPr>
        <w:t>下降6.68</w:t>
      </w:r>
      <w:r>
        <w:rPr>
          <w:rFonts w:ascii="Times New Roman" w:eastAsia="Times New Roman"/>
        </w:rPr>
        <w:t>%</w:t>
      </w:r>
      <w:r>
        <w:rPr>
          <w:spacing w:val="6"/>
        </w:rPr>
        <w:t>。主要原因是</w:t>
      </w:r>
      <w:r>
        <w:rPr>
          <w:rFonts w:ascii="Times New Roman" w:eastAsiaTheme="minorEastAsia" w:hint="eastAsia"/>
          <w:spacing w:val="6"/>
        </w:rPr>
        <w:t>压缩一般性支出。</w:t>
      </w:r>
    </w:p>
    <w:p w:rsidR="00D6391A" w:rsidRDefault="003F0A33">
      <w:pPr>
        <w:pStyle w:val="a4"/>
        <w:spacing w:line="405" w:lineRule="exact"/>
        <w:ind w:left="751"/>
        <w:rPr>
          <w:rFonts w:ascii="黑体" w:eastAsia="黑体"/>
        </w:rPr>
      </w:pPr>
      <w:r>
        <w:rPr>
          <w:rFonts w:ascii="黑体" w:eastAsia="黑体" w:hint="eastAsia"/>
        </w:rPr>
        <w:t>二、收入决算情况说明</w:t>
      </w:r>
    </w:p>
    <w:p w:rsidR="00D6391A" w:rsidRDefault="003F0A33">
      <w:pPr>
        <w:pStyle w:val="a4"/>
        <w:spacing w:before="171" w:line="338" w:lineRule="auto"/>
        <w:ind w:left="111" w:right="405" w:firstLine="640"/>
        <w:jc w:val="both"/>
      </w:pPr>
      <w:r>
        <w:rPr>
          <w:rFonts w:ascii="Times New Roman" w:eastAsia="Times New Roman"/>
        </w:rPr>
        <w:t>2020</w:t>
      </w:r>
      <w:r>
        <w:rPr>
          <w:spacing w:val="-13"/>
        </w:rPr>
        <w:t>年度收入合计</w:t>
      </w:r>
      <w:r>
        <w:rPr>
          <w:rFonts w:ascii="Times New Roman" w:eastAsia="宋体" w:hint="eastAsia"/>
        </w:rPr>
        <w:t>2231.35</w:t>
      </w:r>
      <w:r>
        <w:rPr>
          <w:spacing w:val="-22"/>
        </w:rPr>
        <w:t>万元，比上年度</w:t>
      </w:r>
      <w:r>
        <w:rPr>
          <w:rFonts w:hint="eastAsia"/>
          <w:spacing w:val="-22"/>
        </w:rPr>
        <w:t>减少</w:t>
      </w:r>
      <w:r>
        <w:rPr>
          <w:rFonts w:ascii="Times New Roman" w:eastAsia="宋体" w:hint="eastAsia"/>
        </w:rPr>
        <w:t>227.77</w:t>
      </w:r>
      <w:r>
        <w:rPr>
          <w:spacing w:val="-5"/>
        </w:rPr>
        <w:t>万元，</w:t>
      </w:r>
      <w:r>
        <w:rPr>
          <w:rFonts w:hint="eastAsia"/>
          <w:spacing w:val="-5"/>
        </w:rPr>
        <w:t>下降9.26</w:t>
      </w:r>
      <w:r>
        <w:rPr>
          <w:rFonts w:ascii="Times New Roman" w:eastAsia="Times New Roman"/>
          <w:spacing w:val="2"/>
        </w:rPr>
        <w:t>%</w:t>
      </w:r>
      <w:r>
        <w:rPr>
          <w:spacing w:val="10"/>
        </w:rPr>
        <w:t>。其中：财政拨款收入</w:t>
      </w:r>
      <w:r>
        <w:rPr>
          <w:rFonts w:ascii="Times New Roman" w:eastAsia="宋体" w:hint="eastAsia"/>
        </w:rPr>
        <w:t>2231.35</w:t>
      </w:r>
      <w:r>
        <w:rPr>
          <w:spacing w:val="9"/>
        </w:rPr>
        <w:t>万元，占</w:t>
      </w:r>
      <w:r>
        <w:rPr>
          <w:rFonts w:ascii="Times New Roman" w:eastAsia="宋体" w:hint="eastAsia"/>
          <w:spacing w:val="1"/>
          <w:w w:val="99"/>
        </w:rPr>
        <w:t>100</w:t>
      </w:r>
      <w:r>
        <w:rPr>
          <w:rFonts w:ascii="Times New Roman" w:eastAsia="Times New Roman"/>
          <w:w w:val="99"/>
        </w:rPr>
        <w:t>%</w:t>
      </w:r>
      <w:r>
        <w:t>。</w:t>
      </w:r>
    </w:p>
    <w:p w:rsidR="00D6391A" w:rsidRDefault="003F0A33">
      <w:pPr>
        <w:pStyle w:val="a4"/>
        <w:spacing w:before="9"/>
        <w:ind w:left="751"/>
        <w:rPr>
          <w:rFonts w:ascii="黑体" w:eastAsia="黑体"/>
        </w:rPr>
      </w:pPr>
      <w:r>
        <w:rPr>
          <w:rFonts w:ascii="黑体" w:eastAsia="黑体" w:hint="eastAsia"/>
        </w:rPr>
        <w:t>三、支出决算情况说明</w:t>
      </w:r>
    </w:p>
    <w:p w:rsidR="00D6391A" w:rsidRDefault="003F0A33">
      <w:pPr>
        <w:pStyle w:val="a4"/>
        <w:spacing w:before="168" w:line="340" w:lineRule="auto"/>
        <w:ind w:left="111" w:right="245" w:firstLine="640"/>
      </w:pPr>
      <w:r>
        <w:rPr>
          <w:rFonts w:ascii="Times New Roman" w:eastAsia="Times New Roman"/>
        </w:rPr>
        <w:t xml:space="preserve">2020 </w:t>
      </w:r>
      <w:r>
        <w:rPr>
          <w:spacing w:val="-12"/>
        </w:rPr>
        <w:t>年度支出合计</w:t>
      </w:r>
      <w:r>
        <w:rPr>
          <w:rFonts w:ascii="Times New Roman" w:eastAsia="宋体" w:hint="eastAsia"/>
        </w:rPr>
        <w:t>2325.46</w:t>
      </w:r>
      <w:r>
        <w:rPr>
          <w:spacing w:val="-22"/>
        </w:rPr>
        <w:t>万元，比上年度</w:t>
      </w:r>
      <w:r>
        <w:rPr>
          <w:rFonts w:hint="eastAsia"/>
          <w:spacing w:val="-22"/>
        </w:rPr>
        <w:t>减少98.53</w:t>
      </w:r>
      <w:r>
        <w:rPr>
          <w:spacing w:val="-33"/>
        </w:rPr>
        <w:t>万元，</w:t>
      </w:r>
      <w:r>
        <w:rPr>
          <w:rFonts w:hint="eastAsia"/>
          <w:spacing w:val="-33"/>
        </w:rPr>
        <w:t>下降4.06</w:t>
      </w:r>
      <w:r>
        <w:rPr>
          <w:rFonts w:ascii="Times New Roman" w:eastAsia="Times New Roman"/>
        </w:rPr>
        <w:t>%</w:t>
      </w:r>
      <w:r>
        <w:rPr>
          <w:spacing w:val="-34"/>
        </w:rPr>
        <w:t xml:space="preserve">。其中：基本支出 </w:t>
      </w:r>
      <w:r>
        <w:rPr>
          <w:rFonts w:ascii="Times New Roman" w:eastAsia="宋体" w:hint="eastAsia"/>
        </w:rPr>
        <w:t>1110.46</w:t>
      </w:r>
      <w:r>
        <w:rPr>
          <w:spacing w:val="-38"/>
        </w:rPr>
        <w:t>万元，占</w:t>
      </w:r>
      <w:r>
        <w:rPr>
          <w:rFonts w:ascii="Times New Roman" w:eastAsia="宋体" w:hint="eastAsia"/>
        </w:rPr>
        <w:t>47.75</w:t>
      </w:r>
      <w:r>
        <w:rPr>
          <w:rFonts w:ascii="Times New Roman" w:eastAsia="Times New Roman"/>
        </w:rPr>
        <w:t>%</w:t>
      </w:r>
      <w:r>
        <w:t xml:space="preserve">； </w:t>
      </w:r>
      <w:r>
        <w:rPr>
          <w:spacing w:val="-16"/>
        </w:rPr>
        <w:t>项目支出</w:t>
      </w:r>
      <w:r>
        <w:rPr>
          <w:rFonts w:ascii="Times New Roman" w:eastAsia="宋体" w:hint="eastAsia"/>
        </w:rPr>
        <w:t>1215</w:t>
      </w:r>
      <w:r>
        <w:rPr>
          <w:spacing w:val="-16"/>
        </w:rPr>
        <w:t>元，占</w:t>
      </w:r>
      <w:r>
        <w:rPr>
          <w:rFonts w:ascii="Times New Roman" w:eastAsia="宋体" w:hint="eastAsia"/>
        </w:rPr>
        <w:t>52.24</w:t>
      </w:r>
      <w:r>
        <w:rPr>
          <w:rFonts w:ascii="Times New Roman" w:eastAsia="Times New Roman"/>
        </w:rPr>
        <w:t>%</w:t>
      </w:r>
      <w:r>
        <w:t>。</w:t>
      </w:r>
    </w:p>
    <w:p w:rsidR="00D6391A" w:rsidRDefault="003F0A33">
      <w:pPr>
        <w:pStyle w:val="a4"/>
        <w:spacing w:line="403" w:lineRule="exact"/>
        <w:ind w:left="751"/>
        <w:rPr>
          <w:rFonts w:ascii="黑体" w:eastAsia="黑体"/>
        </w:rPr>
      </w:pPr>
      <w:r>
        <w:rPr>
          <w:rFonts w:ascii="黑体" w:eastAsia="黑体" w:hint="eastAsia"/>
        </w:rPr>
        <w:t>四、财政拨款收入支出决算总体情况说明</w:t>
      </w:r>
    </w:p>
    <w:p w:rsidR="00D6391A" w:rsidRDefault="003F0A33">
      <w:pPr>
        <w:pStyle w:val="a4"/>
        <w:spacing w:before="168" w:line="340" w:lineRule="auto"/>
        <w:ind w:left="111" w:right="245" w:firstLine="640"/>
        <w:rPr>
          <w:rFonts w:ascii="Times New Roman" w:eastAsiaTheme="minorEastAsia"/>
        </w:rPr>
      </w:pPr>
      <w:r>
        <w:rPr>
          <w:rFonts w:ascii="Times New Roman" w:eastAsia="Times New Roman"/>
        </w:rPr>
        <w:t>2020 年度财政拨款收、支总计为</w:t>
      </w:r>
      <w:r>
        <w:rPr>
          <w:rFonts w:ascii="Times New Roman" w:eastAsiaTheme="minorEastAsia" w:hint="eastAsia"/>
        </w:rPr>
        <w:t>4355.55</w:t>
      </w:r>
      <w:r>
        <w:rPr>
          <w:rFonts w:ascii="Times New Roman" w:eastAsia="Times New Roman"/>
        </w:rPr>
        <w:t>万元，与上年度相比，财政拨款收、支总计</w:t>
      </w:r>
      <w:r>
        <w:rPr>
          <w:rFonts w:ascii="Times New Roman" w:eastAsiaTheme="minorEastAsia" w:hint="eastAsia"/>
        </w:rPr>
        <w:t>减少</w:t>
      </w:r>
      <w:r>
        <w:rPr>
          <w:rFonts w:ascii="Times New Roman" w:eastAsiaTheme="minorEastAsia" w:hint="eastAsia"/>
        </w:rPr>
        <w:t>449.70</w:t>
      </w:r>
      <w:r>
        <w:rPr>
          <w:rFonts w:ascii="Times New Roman" w:eastAsia="Times New Roman"/>
        </w:rPr>
        <w:t xml:space="preserve">万元， </w:t>
      </w:r>
      <w:r>
        <w:rPr>
          <w:rFonts w:ascii="Times New Roman" w:eastAsiaTheme="minorEastAsia" w:hint="eastAsia"/>
        </w:rPr>
        <w:t>下降</w:t>
      </w:r>
      <w:r>
        <w:rPr>
          <w:rFonts w:ascii="Times New Roman" w:eastAsiaTheme="minorEastAsia" w:hint="eastAsia"/>
        </w:rPr>
        <w:t>9.35</w:t>
      </w:r>
      <w:r>
        <w:rPr>
          <w:rFonts w:ascii="Times New Roman" w:eastAsia="Times New Roman"/>
        </w:rPr>
        <w:t>%。主要原因是</w:t>
      </w:r>
      <w:r>
        <w:rPr>
          <w:rFonts w:ascii="Times New Roman" w:eastAsiaTheme="minorEastAsia" w:hint="eastAsia"/>
        </w:rPr>
        <w:t>压缩一般性支出。</w:t>
      </w:r>
    </w:p>
    <w:p w:rsidR="00D6391A" w:rsidRDefault="003F0A33">
      <w:pPr>
        <w:pStyle w:val="a4"/>
        <w:spacing w:before="168" w:line="340" w:lineRule="auto"/>
        <w:ind w:right="245" w:firstLineChars="250" w:firstLine="750"/>
        <w:rPr>
          <w:rFonts w:ascii="Times New Roman" w:eastAsia="Times New Roman"/>
        </w:rPr>
      </w:pPr>
      <w:r>
        <w:rPr>
          <w:rFonts w:ascii="黑体" w:eastAsia="黑体" w:hint="eastAsia"/>
          <w:sz w:val="30"/>
        </w:rPr>
        <w:t>五、一般公共预算财政拨款支出决算情况说明</w:t>
      </w:r>
    </w:p>
    <w:p w:rsidR="00D6391A" w:rsidRDefault="003F0A33">
      <w:pPr>
        <w:pStyle w:val="a4"/>
        <w:spacing w:before="177"/>
        <w:ind w:left="751"/>
        <w:rPr>
          <w:rFonts w:ascii="楷体" w:eastAsia="楷体"/>
        </w:rPr>
      </w:pPr>
      <w:r>
        <w:rPr>
          <w:rFonts w:ascii="楷体" w:eastAsia="楷体" w:hint="eastAsia"/>
        </w:rPr>
        <w:t>（一）总体情况</w:t>
      </w:r>
    </w:p>
    <w:p w:rsidR="00D6391A" w:rsidRDefault="003F0A33">
      <w:pPr>
        <w:pStyle w:val="a4"/>
        <w:spacing w:before="168" w:line="340" w:lineRule="auto"/>
        <w:ind w:left="111" w:right="409" w:firstLine="640"/>
        <w:jc w:val="both"/>
      </w:pPr>
      <w:r>
        <w:rPr>
          <w:rFonts w:ascii="Times New Roman" w:eastAsia="Times New Roman"/>
        </w:rPr>
        <w:t xml:space="preserve">2020 </w:t>
      </w:r>
      <w:r>
        <w:rPr>
          <w:spacing w:val="-5"/>
        </w:rPr>
        <w:t>年度一般公共预算财政拨款支出</w:t>
      </w:r>
      <w:r>
        <w:rPr>
          <w:rFonts w:ascii="Times New Roman" w:eastAsia="宋体" w:hint="eastAsia"/>
        </w:rPr>
        <w:t>1974.20</w:t>
      </w:r>
      <w:r>
        <w:t>万元，占本</w:t>
      </w:r>
      <w:r>
        <w:rPr>
          <w:spacing w:val="-10"/>
        </w:rPr>
        <w:t>年支出合计的</w:t>
      </w:r>
      <w:r>
        <w:rPr>
          <w:rFonts w:ascii="Times New Roman" w:eastAsia="宋体" w:hint="eastAsia"/>
        </w:rPr>
        <w:t>84.89</w:t>
      </w:r>
      <w:r>
        <w:rPr>
          <w:rFonts w:ascii="Times New Roman" w:eastAsia="Times New Roman"/>
        </w:rPr>
        <w:t>%</w:t>
      </w:r>
      <w:r>
        <w:rPr>
          <w:spacing w:val="3"/>
        </w:rPr>
        <w:t>。与上年度相比，一般公共预算财政拨款</w:t>
      </w:r>
      <w:r>
        <w:rPr>
          <w:spacing w:val="-17"/>
        </w:rPr>
        <w:t>支出</w:t>
      </w:r>
      <w:r>
        <w:rPr>
          <w:rFonts w:hint="eastAsia"/>
          <w:spacing w:val="-17"/>
        </w:rPr>
        <w:t>减少371.93</w:t>
      </w:r>
      <w:r>
        <w:rPr>
          <w:spacing w:val="-14"/>
        </w:rPr>
        <w:t>万元，</w:t>
      </w:r>
      <w:r>
        <w:rPr>
          <w:rFonts w:hint="eastAsia"/>
          <w:spacing w:val="-14"/>
        </w:rPr>
        <w:t>下降15.85</w:t>
      </w:r>
      <w:r>
        <w:rPr>
          <w:rFonts w:ascii="Times New Roman" w:eastAsia="Times New Roman"/>
        </w:rPr>
        <w:t>%</w:t>
      </w:r>
      <w:r>
        <w:rPr>
          <w:spacing w:val="-12"/>
        </w:rPr>
        <w:t xml:space="preserve">。主要原因是 </w:t>
      </w:r>
      <w:r>
        <w:rPr>
          <w:rFonts w:hint="eastAsia"/>
          <w:spacing w:val="-12"/>
        </w:rPr>
        <w:t>:</w:t>
      </w:r>
      <w:r>
        <w:rPr>
          <w:rFonts w:hint="eastAsia"/>
          <w:spacing w:val="-12"/>
        </w:rPr>
        <w:lastRenderedPageBreak/>
        <w:t>压缩一般性支出。</w:t>
      </w:r>
    </w:p>
    <w:p w:rsidR="00D6391A" w:rsidRDefault="003F0A33">
      <w:pPr>
        <w:widowControl/>
        <w:spacing w:line="59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   （二）结构情况。</w:t>
      </w:r>
    </w:p>
    <w:p w:rsidR="00D6391A" w:rsidRDefault="003F0A33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2020年度一般公共预算财政拨款支出1974.20万元，主要用于以下方面：一般公共服务（类）支出12.56万元，占0.63%；</w:t>
      </w:r>
      <w:r>
        <w:rPr>
          <w:rFonts w:hint="eastAsia"/>
          <w:sz w:val="32"/>
          <w:szCs w:val="32"/>
        </w:rPr>
        <w:t>卫生健康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类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支出</w:t>
      </w:r>
      <w:r>
        <w:rPr>
          <w:rFonts w:hint="eastAsia"/>
          <w:sz w:val="32"/>
          <w:szCs w:val="32"/>
        </w:rPr>
        <w:t>74.19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占</w:t>
      </w:r>
      <w:r>
        <w:rPr>
          <w:rFonts w:hint="eastAsia"/>
          <w:sz w:val="32"/>
          <w:szCs w:val="32"/>
        </w:rPr>
        <w:t>3.75%;</w:t>
      </w:r>
      <w:r>
        <w:rPr>
          <w:rFonts w:hint="eastAsia"/>
          <w:sz w:val="32"/>
          <w:szCs w:val="32"/>
        </w:rPr>
        <w:t>城乡社区支出</w:t>
      </w:r>
      <w:r>
        <w:rPr>
          <w:rFonts w:hint="eastAsia"/>
          <w:sz w:val="32"/>
          <w:szCs w:val="32"/>
        </w:rPr>
        <w:t>1446.92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占</w:t>
      </w:r>
      <w:r>
        <w:rPr>
          <w:rFonts w:hint="eastAsia"/>
          <w:sz w:val="32"/>
          <w:szCs w:val="32"/>
        </w:rPr>
        <w:t xml:space="preserve"> 73.29%;</w:t>
      </w:r>
      <w:r>
        <w:rPr>
          <w:rFonts w:hint="eastAsia"/>
          <w:sz w:val="32"/>
          <w:szCs w:val="32"/>
        </w:rPr>
        <w:t>农林水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类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支出</w:t>
      </w:r>
      <w:r>
        <w:rPr>
          <w:rFonts w:hint="eastAsia"/>
          <w:sz w:val="32"/>
          <w:szCs w:val="32"/>
        </w:rPr>
        <w:t xml:space="preserve"> 74.64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占</w:t>
      </w:r>
      <w:r>
        <w:rPr>
          <w:rFonts w:hint="eastAsia"/>
          <w:sz w:val="32"/>
          <w:szCs w:val="32"/>
        </w:rPr>
        <w:t>3.78%;</w:t>
      </w:r>
      <w:r>
        <w:rPr>
          <w:rFonts w:hint="eastAsia"/>
          <w:sz w:val="32"/>
          <w:szCs w:val="32"/>
        </w:rPr>
        <w:t>住房保障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类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支出</w:t>
      </w:r>
      <w:r>
        <w:rPr>
          <w:rFonts w:hint="eastAsia"/>
          <w:sz w:val="32"/>
          <w:szCs w:val="32"/>
        </w:rPr>
        <w:t xml:space="preserve"> 45.83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占</w:t>
      </w:r>
      <w:r>
        <w:rPr>
          <w:rFonts w:hint="eastAsia"/>
          <w:sz w:val="32"/>
          <w:szCs w:val="32"/>
        </w:rPr>
        <w:t xml:space="preserve"> 2.32%</w:t>
      </w:r>
      <w:r>
        <w:rPr>
          <w:rFonts w:hint="eastAsia"/>
          <w:sz w:val="32"/>
          <w:szCs w:val="32"/>
        </w:rPr>
        <w:t>。社会保障和就业支出</w:t>
      </w:r>
      <w:r>
        <w:rPr>
          <w:rFonts w:hint="eastAsia"/>
          <w:sz w:val="32"/>
          <w:szCs w:val="32"/>
        </w:rPr>
        <w:t>314.90</w:t>
      </w:r>
      <w:r>
        <w:rPr>
          <w:rFonts w:hint="eastAsia"/>
          <w:sz w:val="32"/>
          <w:szCs w:val="32"/>
        </w:rPr>
        <w:t>万元，占</w:t>
      </w:r>
      <w:r>
        <w:rPr>
          <w:rFonts w:hint="eastAsia"/>
          <w:sz w:val="32"/>
          <w:szCs w:val="32"/>
        </w:rPr>
        <w:t>15.95%</w:t>
      </w:r>
      <w:r>
        <w:rPr>
          <w:rFonts w:hint="eastAsia"/>
          <w:sz w:val="32"/>
          <w:szCs w:val="32"/>
        </w:rPr>
        <w:t>；文化旅游体育与传媒支出</w:t>
      </w:r>
      <w:r>
        <w:rPr>
          <w:rFonts w:hint="eastAsia"/>
          <w:sz w:val="32"/>
          <w:szCs w:val="32"/>
        </w:rPr>
        <w:t>5.17</w:t>
      </w:r>
      <w:r>
        <w:rPr>
          <w:rFonts w:hint="eastAsia"/>
          <w:sz w:val="32"/>
          <w:szCs w:val="32"/>
        </w:rPr>
        <w:t>万元，占</w:t>
      </w:r>
      <w:r>
        <w:rPr>
          <w:rFonts w:hint="eastAsia"/>
          <w:sz w:val="32"/>
          <w:szCs w:val="32"/>
        </w:rPr>
        <w:t>0.26%</w:t>
      </w:r>
      <w:r>
        <w:rPr>
          <w:rFonts w:hint="eastAsia"/>
          <w:sz w:val="32"/>
          <w:szCs w:val="32"/>
        </w:rPr>
        <w:t>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（三）具体情况。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2020年度一般公共预算财政拨款支出年初预算为2770.48万元，支出决算为1974.2万元，完成年初预算的71.25%。其中：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1．一般公共服务（类）政府办公厅及相关机构事务（款）信访事务（项）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年初预算为5.2万元，支出决算为4.83万元，完成年初预算的92.8%。决算数与年初预算数存在差异的主要原因是：项目资金结转下年使用。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2．一般公共服务（类）其他共产党事务支出（款）其他共产党事务支出（项）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年初预算为4.86万元，支出决算为4.86万元，完成年初预算的100%。决算数与年初预算数持平.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一般公共服务（类）其他一般公共服务支出（款）其他一般公共服务支出（项）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年初预算为0万元，支出决算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为2.86万元，完成年初预算的100%。决算数与年初预算数存在差异的主要原因是：上年结余调入。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文化旅游体育与传媒支出（类）文化和旅游（款）群众文化（项）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年初预算为0.5万元，支出决算为0.47万元，完成年初预算的94%。决算数与年初预算数存在差异的主要原因是：项目资金结转下年使用。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文化旅游体育与传媒支出（类）文化和旅游（款）其他文化和旅游支出（项）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年初预算为6.5万元，支出决算为4.7万元，完成年初预算的72.3%。决算数与年初预算数存在差异的主要原因是：项目资金结转下年使用。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社会保障和就业支出（类）民政管理事务（款）基层政权和社区治理（项）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年初预算为232.69万元，支出决算为131.78万元，完成年初预算的56.63%。决算数与年初预算数存在差异的主要原因是：项目资金结转下年使用。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社会保障和就业支出（类）行政事业单位养老支出（款）机关事业单位基本养老保险缴费支出（项）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年初预算为60.54万元，支出决算为60.54万元，完成年初预算的100%。决算数与年初预算数持平。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社会保障和就业支出（类）行政事业单位离退休（款）其他行政事业单位离退休支出（项）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年初预算为109.39万元，支出决算为109.39万元，完成年初预算的100%。决算数与年初预算数持平。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社会保障和就业支出（类）就业补助（款）公益性岗位补贴（项）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年初预算为6.48万元，支出决算为4.50万元，完成年初预算的69.44%。决算数与年初预算数存在差异的原因是：项目资金结转下年使用。</w:t>
      </w:r>
    </w:p>
    <w:p w:rsidR="00D6391A" w:rsidRDefault="00D6391A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社会保障和就业支出（类）就业补助（款）其他就业补助支出（项）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年初预算为0万元，支出决算为0.99万元，完成年初预算的100%。决算数与年初预算数存在差异的原因是：上年结余调入。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社会保障和就业支出（类）抚恤（款）在乡复员、退伍军人生活补助（项）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年初预算为1万元，支出决算为0.1万元，完成年初预算的1%。决算数与年初预算数存在差异的原因是：项目资金结转下年使用。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12.社会保障和就业支出（类）退役安置（款）退役士兵安置（项）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年初预算为6.88万元，支出决算为7.60万元，完成年初预算的100%。决算数与年初预算数存在差异的原因是：上年结余调入。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卫生健康支出（类）公共卫生（款）突发公共卫生事件应急处理（项）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年初预算为20万元，支出决算为20万元，完成年初预算的100%。决算数与年初预算数持平。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卫生健康支出（类）行政事业单位医疗（款）行政单位医疗（项）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年初预算为54.20万元，支出决算为54.20万元，完成年初预算的100%。决算数与年初预算数持平。</w:t>
      </w:r>
    </w:p>
    <w:p w:rsidR="00D6391A" w:rsidRDefault="00D6391A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城乡社区支出（类）城乡社区管理事务（款）行政运行（项）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年初预算为639.25万元，支出决算为639.25万元，完成年初预算的100%。决算数与年初预算数持平. 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城乡社区支出（类）城乡社区管理事务（款）一般行政管理事务（项）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年初预算为276.22万元，支出决算为276.22万元，完成年初预算的100%。决算数与年初预算数持平.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城乡社区支出（类）城乡社区管理事务（款）机关服务（项）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年初预算为531.46万元，支出决算为531.46万元，完成年初预算的100%。决算数与年初预算数存持平.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农林水支出（类）农村综合改革（款）对村民委员会和村党支部的补助（项）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年初预算为80.37万元，支出决算为74.64万元，完成年初预算的92.87%。决算数与年初预算数存在差异的原因是：压缩支出.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19.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住房保障支出（类）住房改革支出（款）住房公积金（项）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年初预算为45.83万元，支出决算为45.83万元，完成年初预算的100%。决算数与年初预算数持平。</w:t>
      </w:r>
    </w:p>
    <w:p w:rsidR="00D6391A" w:rsidRDefault="003F0A33">
      <w:pPr>
        <w:widowControl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六、一般公共预算财政拨款基本支出决算情况说明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2020年度一般公共预算财政拨款基本支出909.20万元。其中：人员经费877.54万元，主要包括：基本工资210.42万元、津贴补贴287.52万元、奖金10.59万元、绩效工资97.72万元、机关事业单位基本养老保险缴费60.54万元、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职工基本医疗保险缴费54.19万元、住房公积金45.83万元、离休费7.54万元、退休费101.84万元、生活补助0.86万元、奖励金0.49万元；公用经费31.66万元，主要包括：办公费11.19万元、水费0.49万元、电费3万元、邮电费3万元、工会经费4.6万元、福利费9.37万元。</w:t>
      </w:r>
    </w:p>
    <w:p w:rsidR="00D6391A" w:rsidRDefault="003F0A33">
      <w:pPr>
        <w:widowControl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七、一般公共预算财政拨款“三公”经费支出决算情况说明</w:t>
      </w:r>
    </w:p>
    <w:p w:rsidR="00D6391A" w:rsidRDefault="003F0A33">
      <w:pPr>
        <w:widowControl/>
        <w:spacing w:line="590" w:lineRule="exact"/>
        <w:ind w:firstLineChars="200" w:firstLine="643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（一）“三公”经费财政拨款支出决算总体情况说明。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2020年度“三公”经费财政拨款支出预算为8.01万元，支出决算为7万元，完成预算的87.39%。2020年度“三公”经费支出决算数与预算数存在差异的原因是:严格公务用车管理.</w:t>
      </w:r>
    </w:p>
    <w:p w:rsidR="00D6391A" w:rsidRDefault="003F0A33">
      <w:pPr>
        <w:widowControl/>
        <w:spacing w:line="590" w:lineRule="exact"/>
        <w:ind w:firstLineChars="200" w:firstLine="643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（二）“三公”经费财政拨款支出决算具体情况说明。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“三公”经费财政拨款支出决算中，因公出国（境）费支出决算0万元，完成预算的0.00%，占0.00%；公务用车购置及运行费支出决算7万元，完成预算的87.39%，占87.39%；公务接待费支出决算0万元，完成预算的0.00%，占0.00%。具体情况如下：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1．因公出国（境）费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年初预算为0万元，支出决算为0万元，完成年初预算的0.00%。决算数与年初预算数持平。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2．公务用车购置及运行费</w:t>
      </w:r>
      <w:r>
        <w:rPr>
          <w:rFonts w:ascii="仿宋_GB2312" w:eastAsia="仿宋_GB2312" w:hAnsi="仿宋_GB2312" w:cs="仿宋_GB2312" w:hint="eastAsia"/>
          <w:sz w:val="32"/>
          <w:szCs w:val="32"/>
        </w:rPr>
        <w:t>初预算为8.01万元，支出决算为7万元，完成年初预算的87.39%。决算数与年初预算数存在差异的原因是:严格公务用车管理.其中：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公务用车购置支出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为0万元，购置车辆0辆.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公务用车运行支出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7万元。主要用于：因公日常办公用车及维护。2020年期末，部门开支财政拨款的公务用车保有量为8辆。</w:t>
      </w:r>
    </w:p>
    <w:p w:rsidR="00D6391A" w:rsidRDefault="003F0A33">
      <w:pPr>
        <w:widowControl/>
        <w:spacing w:line="590" w:lineRule="exact"/>
        <w:ind w:left="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3．公务接待费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初预算为0万元，支出决算为0万元，完成年初预算的0.00%。决算数与年初预算数持平.</w:t>
      </w:r>
    </w:p>
    <w:p w:rsidR="00D6391A" w:rsidRDefault="003F0A33">
      <w:pPr>
        <w:widowControl/>
        <w:spacing w:line="590" w:lineRule="exact"/>
        <w:ind w:left="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外宾接待支出0万元。2020年共接待国（境）外来访团组0个，来访外宾0人次（不包括陪同人员）。</w:t>
      </w:r>
    </w:p>
    <w:p w:rsidR="00D6391A" w:rsidRDefault="003F0A33">
      <w:pPr>
        <w:widowControl/>
        <w:spacing w:line="590" w:lineRule="exact"/>
        <w:ind w:left="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其他国内公务接待支出0万元。2020年共接待国内来访团组0个，来宾0人次（不包括陪同人员）。</w:t>
      </w:r>
    </w:p>
    <w:p w:rsidR="00D6391A" w:rsidRDefault="00D6391A">
      <w:pPr>
        <w:widowControl/>
        <w:spacing w:line="590" w:lineRule="exact"/>
        <w:ind w:left="360"/>
        <w:rPr>
          <w:rFonts w:ascii="仿宋_GB2312" w:eastAsia="仿宋_GB2312" w:hAnsi="仿宋_GB2312" w:cs="仿宋_GB2312"/>
          <w:sz w:val="32"/>
          <w:szCs w:val="32"/>
        </w:rPr>
      </w:pPr>
    </w:p>
    <w:p w:rsidR="00D6391A" w:rsidRDefault="003F0A33">
      <w:pPr>
        <w:widowControl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八、预算绩效情况说明</w:t>
      </w:r>
    </w:p>
    <w:p w:rsidR="00D6391A" w:rsidRDefault="003F0A33">
      <w:pPr>
        <w:widowControl/>
        <w:spacing w:line="590" w:lineRule="exact"/>
        <w:ind w:firstLineChars="200" w:firstLine="643"/>
        <w:outlineLvl w:val="2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（一）绩效管理工作开展情况。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为深入贯彻落实《中共洛阳市委　洛阳市人民政府关于全面实施预算绩效管理的实施意见》（洛发［2021］3号精神,健全绩效评价常态化机制,强化部门预算绩效管理主体责任,提高财政资金使用效益.按照《洛阳市财政局关于开展2020年度市级预算绩效自评的工作通知》(洛财效[2021</w:t>
      </w:r>
      <w:r>
        <w:rPr>
          <w:rFonts w:ascii="仿宋_GB2312" w:eastAsia="仿宋_GB2312" w:hAnsi="仿宋_GB2312" w:cs="仿宋_GB2312"/>
          <w:sz w:val="32"/>
          <w:szCs w:val="32"/>
        </w:rPr>
        <w:t>]</w:t>
      </w:r>
      <w:r>
        <w:rPr>
          <w:rFonts w:ascii="仿宋_GB2312" w:eastAsia="仿宋_GB2312" w:hAnsi="仿宋_GB2312" w:cs="仿宋_GB2312" w:hint="eastAsia"/>
          <w:sz w:val="32"/>
          <w:szCs w:val="32"/>
        </w:rPr>
        <w:t>2号要求,我单位高度重视，通过基础资料收集，数据汇总分析等工作程序，对办事处项目支出都进行绩效评价。</w:t>
      </w:r>
    </w:p>
    <w:p w:rsidR="00D6391A" w:rsidRDefault="003F0A33">
      <w:pPr>
        <w:widowControl/>
        <w:spacing w:line="59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（二）项目绩效自评结果。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我单位2020年度项目预算共８个;项目全年预算资金总额为1494.01万元,全年实际执行数为1215万元,预算执行率为81.32%。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根据《洛阳市财政局关于开展2020年度市级预算绩效自评工作的通知》（洛财效［2021</w:t>
      </w:r>
      <w:r>
        <w:rPr>
          <w:rFonts w:ascii="仿宋_GB2312" w:eastAsia="仿宋_GB2312" w:hAnsi="仿宋_GB2312" w:cs="仿宋_GB2312"/>
          <w:sz w:val="32"/>
          <w:szCs w:val="32"/>
        </w:rPr>
        <w:t>］</w:t>
      </w:r>
      <w:r>
        <w:rPr>
          <w:rFonts w:ascii="仿宋_GB2312" w:eastAsia="仿宋_GB2312" w:hAnsi="仿宋_GB2312" w:cs="仿宋_GB2312" w:hint="eastAsia"/>
          <w:sz w:val="32"/>
          <w:szCs w:val="32"/>
        </w:rPr>
        <w:t>2号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相关规定,我单位通过对单位项目调查研究、座谈、查阅相关资料，最终对所有项目进行了自评。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（三）重点绩效评价结果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根据《洛阳市财政局关于开展2020年度市级预算绩效自评工作的通知》（洛财效［2021</w:t>
      </w:r>
      <w:r>
        <w:rPr>
          <w:rFonts w:ascii="仿宋_GB2312" w:eastAsia="仿宋_GB2312" w:hAnsi="仿宋_GB2312" w:cs="仿宋_GB2312"/>
          <w:sz w:val="32"/>
          <w:szCs w:val="32"/>
        </w:rPr>
        <w:t>］</w:t>
      </w:r>
      <w:r>
        <w:rPr>
          <w:rFonts w:ascii="仿宋_GB2312" w:eastAsia="仿宋_GB2312" w:hAnsi="仿宋_GB2312" w:cs="仿宋_GB2312" w:hint="eastAsia"/>
          <w:sz w:val="32"/>
          <w:szCs w:val="32"/>
        </w:rPr>
        <w:t>2号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要求，我单位对服务群众专项——公务用车维护费项目进行了重点绩效评价。该项目年初预算为8.01万元,截止2021年05月评价时段,实际到位资金为7.01万元,资金到位率为87.51%.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依据评价指标体系评分 标准,通过数据采集、问卷调查等,对2020年公务用车维护费项目绩效进行客观评价,最终得分为94.2分,评价等级属于“优”。</w:t>
      </w:r>
    </w:p>
    <w:p w:rsidR="00D6391A" w:rsidRDefault="003F0A33">
      <w:pPr>
        <w:widowControl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九、政府性基金预算财政拨款支出决算情况说明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2020年度政府性基金预算财政拨款支出年初预算为150万元，支出决算为150万元，完成年初预算的100%。年初预算数与决算数持平</w:t>
      </w:r>
    </w:p>
    <w:p w:rsidR="00D6391A" w:rsidRDefault="003F0A33">
      <w:pPr>
        <w:widowControl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十、机关运行经费支出情况说明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2019年度机关运行经费初预算为31.66万元，支出决算为31.66万元，完成年初预算的100%。决算数与年初预算数持平.</w:t>
      </w:r>
    </w:p>
    <w:p w:rsidR="00D6391A" w:rsidRDefault="003F0A33">
      <w:pPr>
        <w:widowControl/>
        <w:spacing w:line="590" w:lineRule="exact"/>
        <w:ind w:firstLineChars="200" w:firstLine="640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十一、政府采购支出情况说明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度政府采购支出总额38.44万元，其中：政府采购货物支出14.44万元、政府采购工程支出0万元、政府采购服务支出24万元。授予中小企业合同金额38.44万元，占政府采购支出总额的100%，其中：授予小微企业合同金额38.44万元，占政府采购支出总额的100%。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十二、国有资产占用情况说明</w:t>
      </w:r>
    </w:p>
    <w:p w:rsidR="00D6391A" w:rsidRDefault="003F0A33">
      <w:pPr>
        <w:widowControl/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2020年期末，我部门共有车辆8辆，其中：其他用车8辆；单位价值50万元以上通用设备0台（套），单位价值100万元以上专用设备0台（套）。</w:t>
      </w:r>
    </w:p>
    <w:p w:rsidR="00D6391A" w:rsidRDefault="00D6391A">
      <w:pPr>
        <w:widowControl/>
        <w:jc w:val="left"/>
        <w:rPr>
          <w:rFonts w:ascii="楷体_GB2312" w:eastAsia="楷体_GB2312" w:hAnsi="楷体_GB2312" w:cs="楷体_GB2312"/>
          <w:sz w:val="32"/>
          <w:szCs w:val="32"/>
        </w:rPr>
        <w:sectPr w:rsidR="00D6391A">
          <w:pgSz w:w="11906" w:h="16838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D6391A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6391A" w:rsidRDefault="003F0A33">
      <w:pPr>
        <w:jc w:val="center"/>
        <w:outlineLvl w:val="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第四部分  名词解释</w:t>
      </w:r>
    </w:p>
    <w:p w:rsidR="00D6391A" w:rsidRDefault="00D6391A">
      <w:pPr>
        <w:jc w:val="center"/>
        <w:rPr>
          <w:rFonts w:ascii="黑体" w:eastAsia="黑体" w:hAnsi="黑体" w:cs="黑体"/>
          <w:sz w:val="48"/>
          <w:szCs w:val="48"/>
        </w:rPr>
      </w:pPr>
    </w:p>
    <w:p w:rsidR="00D6391A" w:rsidRDefault="00D6391A">
      <w:pPr>
        <w:jc w:val="center"/>
        <w:outlineLvl w:val="0"/>
        <w:rPr>
          <w:rFonts w:ascii="黑体" w:eastAsia="黑体" w:hAnsi="黑体" w:cs="黑体"/>
          <w:sz w:val="48"/>
          <w:szCs w:val="48"/>
        </w:rPr>
        <w:sectPr w:rsidR="00D6391A">
          <w:pgSz w:w="11906" w:h="16838"/>
          <w:pgMar w:top="1440" w:right="1531" w:bottom="1440" w:left="1587" w:header="850" w:footer="992" w:gutter="0"/>
          <w:pgNumType w:fmt="numberInDash"/>
          <w:cols w:space="720"/>
          <w:docGrid w:type="lines" w:linePitch="317"/>
        </w:sectPr>
      </w:pPr>
    </w:p>
    <w:p w:rsidR="00D6391A" w:rsidRDefault="003F0A33">
      <w:pPr>
        <w:pStyle w:val="a4"/>
        <w:spacing w:before="55" w:line="345" w:lineRule="auto"/>
        <w:ind w:left="111" w:right="411" w:firstLine="640"/>
      </w:pPr>
      <w:r>
        <w:rPr>
          <w:rFonts w:ascii="楷体" w:eastAsia="楷体" w:hint="eastAsia"/>
          <w:spacing w:val="-8"/>
          <w:w w:val="95"/>
        </w:rPr>
        <w:lastRenderedPageBreak/>
        <w:t>一、财政拨款收入</w:t>
      </w:r>
      <w:r>
        <w:rPr>
          <w:spacing w:val="-8"/>
          <w:w w:val="95"/>
        </w:rPr>
        <w:t xml:space="preserve">：单位从同级政府财政部门取得的财政预 </w:t>
      </w:r>
      <w:r>
        <w:rPr>
          <w:spacing w:val="-8"/>
        </w:rPr>
        <w:t>算资金。</w:t>
      </w:r>
    </w:p>
    <w:p w:rsidR="00D6391A" w:rsidRDefault="003F0A33">
      <w:pPr>
        <w:pStyle w:val="a4"/>
        <w:spacing w:line="345" w:lineRule="auto"/>
        <w:ind w:left="111" w:right="409" w:firstLine="640"/>
      </w:pPr>
      <w:r>
        <w:rPr>
          <w:rFonts w:ascii="楷体" w:eastAsia="楷体" w:hint="eastAsia"/>
          <w:spacing w:val="-17"/>
          <w:w w:val="95"/>
        </w:rPr>
        <w:t>二、事业收入：</w:t>
      </w:r>
      <w:r>
        <w:rPr>
          <w:w w:val="95"/>
        </w:rPr>
        <w:t xml:space="preserve">事业单位开展专业业务活动及其辅助活动取 </w:t>
      </w:r>
      <w:r>
        <w:t>得的收入。</w:t>
      </w:r>
    </w:p>
    <w:p w:rsidR="00D6391A" w:rsidRDefault="003F0A33">
      <w:pPr>
        <w:pStyle w:val="a4"/>
        <w:spacing w:line="343" w:lineRule="auto"/>
        <w:ind w:left="111" w:right="411" w:firstLine="640"/>
      </w:pPr>
      <w:r>
        <w:rPr>
          <w:rFonts w:ascii="楷体" w:eastAsia="楷体" w:hint="eastAsia"/>
          <w:spacing w:val="-14"/>
          <w:w w:val="95"/>
        </w:rPr>
        <w:t>三、上级补助收入：</w:t>
      </w:r>
      <w:r>
        <w:rPr>
          <w:w w:val="95"/>
        </w:rPr>
        <w:t xml:space="preserve">事业单位从主管部门和上级单位取得的 </w:t>
      </w:r>
      <w:r>
        <w:t>非财政补助收入。</w:t>
      </w:r>
    </w:p>
    <w:p w:rsidR="00D6391A" w:rsidRDefault="003F0A33">
      <w:pPr>
        <w:pStyle w:val="a4"/>
        <w:spacing w:before="6" w:line="345" w:lineRule="auto"/>
        <w:ind w:left="111" w:right="409" w:firstLine="640"/>
      </w:pPr>
      <w:r>
        <w:rPr>
          <w:rFonts w:ascii="楷体" w:eastAsia="楷体" w:hint="eastAsia"/>
          <w:spacing w:val="-8"/>
        </w:rPr>
        <w:t>四、附属单位上缴收入</w:t>
      </w:r>
      <w:r>
        <w:rPr>
          <w:spacing w:val="-8"/>
        </w:rPr>
        <w:t>：事业单位取得附属独立核算单位根据有关规定上缴的收入。</w:t>
      </w:r>
    </w:p>
    <w:p w:rsidR="00D6391A" w:rsidRDefault="003F0A33">
      <w:pPr>
        <w:pStyle w:val="a4"/>
        <w:spacing w:line="345" w:lineRule="auto"/>
        <w:ind w:left="111" w:right="409" w:firstLine="640"/>
      </w:pPr>
      <w:r>
        <w:rPr>
          <w:rFonts w:ascii="楷体" w:eastAsia="楷体" w:hint="eastAsia"/>
          <w:spacing w:val="-10"/>
          <w:w w:val="95"/>
        </w:rPr>
        <w:t>五、经营收入</w:t>
      </w:r>
      <w:r>
        <w:rPr>
          <w:spacing w:val="-8"/>
          <w:w w:val="95"/>
        </w:rPr>
        <w:t xml:space="preserve">：事业单位在专业业务活动及其辅助活动之外 </w:t>
      </w:r>
      <w:r>
        <w:rPr>
          <w:spacing w:val="-8"/>
        </w:rPr>
        <w:t>开展非独立核算经营活动取得的收入。</w:t>
      </w:r>
    </w:p>
    <w:p w:rsidR="00D6391A" w:rsidRDefault="003F0A33">
      <w:pPr>
        <w:pStyle w:val="a4"/>
        <w:spacing w:line="345" w:lineRule="auto"/>
        <w:ind w:left="111" w:right="250" w:firstLine="640"/>
      </w:pPr>
      <w:r>
        <w:rPr>
          <w:rFonts w:ascii="楷体" w:eastAsia="楷体" w:hAnsi="楷体" w:hint="eastAsia"/>
          <w:spacing w:val="-13"/>
          <w:w w:val="95"/>
        </w:rPr>
        <w:t>六、其他收入</w:t>
      </w:r>
      <w:r>
        <w:rPr>
          <w:spacing w:val="-12"/>
          <w:w w:val="95"/>
        </w:rPr>
        <w:t>：单位取得的除</w:t>
      </w:r>
      <w:r>
        <w:rPr>
          <w:rFonts w:ascii="Times New Roman" w:eastAsia="Times New Roman" w:hAnsi="Times New Roman"/>
          <w:w w:val="95"/>
        </w:rPr>
        <w:t>“</w:t>
      </w:r>
      <w:r>
        <w:rPr>
          <w:w w:val="95"/>
        </w:rPr>
        <w:t>财政拨款收入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67"/>
          <w:w w:val="95"/>
        </w:rPr>
        <w:t>、</w:t>
      </w:r>
      <w:r>
        <w:rPr>
          <w:rFonts w:ascii="Times New Roman" w:eastAsia="Times New Roman" w:hAnsi="Times New Roman"/>
          <w:w w:val="95"/>
        </w:rPr>
        <w:t>“</w:t>
      </w:r>
      <w:r>
        <w:rPr>
          <w:w w:val="95"/>
        </w:rPr>
        <w:t>事业收入</w:t>
      </w:r>
      <w:r>
        <w:rPr>
          <w:rFonts w:ascii="Times New Roman" w:eastAsia="Times New Roman" w:hAnsi="Times New Roman"/>
          <w:w w:val="95"/>
        </w:rPr>
        <w:t>”</w:t>
      </w:r>
      <w:r>
        <w:rPr>
          <w:w w:val="95"/>
        </w:rPr>
        <w:t xml:space="preserve">、  </w:t>
      </w:r>
      <w:r>
        <w:rPr>
          <w:rFonts w:ascii="Times New Roman" w:eastAsia="Times New Roman" w:hAnsi="Times New Roman"/>
        </w:rPr>
        <w:t>“</w:t>
      </w:r>
      <w:r>
        <w:t>上级补助收入</w:t>
      </w:r>
      <w:r>
        <w:rPr>
          <w:rFonts w:ascii="Times New Roman" w:eastAsia="Times New Roman" w:hAnsi="Times New Roman"/>
        </w:rPr>
        <w:t>”</w:t>
      </w:r>
      <w:r>
        <w:rPr>
          <w:spacing w:val="-5"/>
        </w:rPr>
        <w:t>、</w:t>
      </w:r>
      <w:r>
        <w:rPr>
          <w:rFonts w:ascii="Times New Roman" w:eastAsia="Times New Roman" w:hAnsi="Times New Roman"/>
        </w:rPr>
        <w:t>“</w:t>
      </w:r>
      <w:r>
        <w:t>附属单位上缴收入</w:t>
      </w:r>
      <w:r>
        <w:rPr>
          <w:rFonts w:ascii="Times New Roman" w:eastAsia="Times New Roman" w:hAnsi="Times New Roman"/>
        </w:rPr>
        <w:t>”</w:t>
      </w:r>
      <w:r>
        <w:rPr>
          <w:spacing w:val="-5"/>
        </w:rPr>
        <w:t>、</w:t>
      </w:r>
      <w:r>
        <w:rPr>
          <w:rFonts w:ascii="Times New Roman" w:eastAsia="Times New Roman" w:hAnsi="Times New Roman"/>
        </w:rPr>
        <w:t>“</w:t>
      </w:r>
      <w:r>
        <w:t>经营收入</w:t>
      </w:r>
      <w:r>
        <w:rPr>
          <w:rFonts w:ascii="Times New Roman" w:eastAsia="Times New Roman" w:hAnsi="Times New Roman"/>
        </w:rPr>
        <w:t>”</w:t>
      </w:r>
      <w:r>
        <w:t>以外的各项收入。</w:t>
      </w:r>
    </w:p>
    <w:p w:rsidR="00D6391A" w:rsidRDefault="003F0A33">
      <w:pPr>
        <w:pStyle w:val="a4"/>
        <w:spacing w:line="345" w:lineRule="auto"/>
        <w:ind w:left="111" w:right="409" w:firstLine="640"/>
        <w:jc w:val="both"/>
      </w:pPr>
      <w:r>
        <w:rPr>
          <w:rFonts w:ascii="楷体" w:eastAsia="楷体" w:hint="eastAsia"/>
          <w:spacing w:val="-8"/>
        </w:rPr>
        <w:t>七、用事业基金弥补收支差额</w:t>
      </w:r>
      <w:r>
        <w:rPr>
          <w:spacing w:val="-8"/>
        </w:rPr>
        <w:t>：事业单位在当年收入不足以</w:t>
      </w:r>
      <w:r>
        <w:rPr>
          <w:spacing w:val="-14"/>
          <w:w w:val="95"/>
        </w:rPr>
        <w:t>安排当年支出的情况下，使用以前年度积累的事业基金</w:t>
      </w:r>
      <w:r>
        <w:rPr>
          <w:w w:val="95"/>
        </w:rPr>
        <w:t xml:space="preserve">（事业单 </w:t>
      </w:r>
      <w:r>
        <w:rPr>
          <w:spacing w:val="-8"/>
        </w:rPr>
        <w:t>位当年收支相抵后按国家规定提取、用于弥补以后年度收支差额的基金）弥补当年收支缺口的资金。</w:t>
      </w:r>
    </w:p>
    <w:p w:rsidR="00D6391A" w:rsidRDefault="003F0A33">
      <w:pPr>
        <w:pStyle w:val="a4"/>
        <w:spacing w:line="345" w:lineRule="auto"/>
        <w:ind w:left="111" w:right="409" w:firstLine="640"/>
      </w:pPr>
      <w:r>
        <w:rPr>
          <w:rFonts w:ascii="楷体" w:eastAsia="楷体" w:hint="eastAsia"/>
          <w:spacing w:val="-8"/>
          <w:w w:val="95"/>
        </w:rPr>
        <w:t>八、基本支出</w:t>
      </w:r>
      <w:r>
        <w:rPr>
          <w:spacing w:val="-10"/>
          <w:w w:val="95"/>
        </w:rPr>
        <w:t xml:space="preserve">：为保障机构正常运转、完成日常工作任务而 </w:t>
      </w:r>
      <w:r>
        <w:rPr>
          <w:spacing w:val="-10"/>
        </w:rPr>
        <w:t>发生的人员支出和公用支出。</w:t>
      </w:r>
    </w:p>
    <w:p w:rsidR="00D6391A" w:rsidRDefault="003F0A33">
      <w:pPr>
        <w:pStyle w:val="a4"/>
        <w:spacing w:line="345" w:lineRule="auto"/>
        <w:ind w:left="111" w:right="409" w:firstLine="640"/>
      </w:pPr>
      <w:r>
        <w:rPr>
          <w:rFonts w:ascii="楷体" w:eastAsia="楷体" w:hint="eastAsia"/>
          <w:spacing w:val="-17"/>
          <w:w w:val="95"/>
        </w:rPr>
        <w:t>九、项目支出：</w:t>
      </w:r>
      <w:r>
        <w:rPr>
          <w:w w:val="95"/>
        </w:rPr>
        <w:t xml:space="preserve">基本支出之外为完成特定行政任务和事业发 </w:t>
      </w:r>
      <w:r>
        <w:t>展目标所发生的支出。</w:t>
      </w:r>
    </w:p>
    <w:p w:rsidR="00D6391A" w:rsidRDefault="00D6391A">
      <w:pPr>
        <w:spacing w:line="345" w:lineRule="auto"/>
        <w:sectPr w:rsidR="00D6391A">
          <w:pgSz w:w="11910" w:h="16840"/>
          <w:pgMar w:top="1580" w:right="1120" w:bottom="280" w:left="1420" w:header="720" w:footer="720" w:gutter="0"/>
          <w:cols w:space="720"/>
        </w:sectPr>
      </w:pPr>
    </w:p>
    <w:p w:rsidR="00D6391A" w:rsidRDefault="00D6391A">
      <w:pPr>
        <w:pStyle w:val="a4"/>
        <w:rPr>
          <w:sz w:val="20"/>
        </w:rPr>
      </w:pPr>
    </w:p>
    <w:p w:rsidR="00D6391A" w:rsidRDefault="00D6391A">
      <w:pPr>
        <w:pStyle w:val="a4"/>
        <w:spacing w:before="12"/>
        <w:rPr>
          <w:sz w:val="16"/>
        </w:rPr>
      </w:pPr>
    </w:p>
    <w:p w:rsidR="00D6391A" w:rsidRDefault="003F0A33">
      <w:pPr>
        <w:pStyle w:val="a4"/>
        <w:spacing w:before="65" w:line="345" w:lineRule="auto"/>
        <w:ind w:left="111" w:right="410" w:firstLine="640"/>
        <w:jc w:val="both"/>
      </w:pPr>
      <w:r>
        <w:rPr>
          <w:rFonts w:ascii="楷体" w:eastAsia="楷体" w:hAnsi="楷体" w:hint="eastAsia"/>
          <w:spacing w:val="-8"/>
          <w:w w:val="95"/>
        </w:rPr>
        <w:t>十、</w:t>
      </w:r>
      <w:r>
        <w:rPr>
          <w:rFonts w:ascii="Times New Roman" w:eastAsia="Times New Roman" w:hAnsi="Times New Roman"/>
          <w:w w:val="95"/>
        </w:rPr>
        <w:t>“</w:t>
      </w:r>
      <w:r>
        <w:rPr>
          <w:rFonts w:ascii="楷体" w:eastAsia="楷体" w:hAnsi="楷体" w:hint="eastAsia"/>
          <w:w w:val="95"/>
        </w:rPr>
        <w:t>三公</w:t>
      </w:r>
      <w:r>
        <w:rPr>
          <w:rFonts w:ascii="Times New Roman" w:eastAsia="Times New Roman" w:hAnsi="Times New Roman"/>
          <w:w w:val="95"/>
        </w:rPr>
        <w:t>”</w:t>
      </w:r>
      <w:r>
        <w:rPr>
          <w:rFonts w:ascii="楷体" w:eastAsia="楷体" w:hAnsi="楷体" w:hint="eastAsia"/>
          <w:w w:val="95"/>
        </w:rPr>
        <w:t>经费</w:t>
      </w:r>
      <w:r>
        <w:rPr>
          <w:spacing w:val="-4"/>
          <w:w w:val="95"/>
        </w:rPr>
        <w:t>：纳入同级财政预决算管理</w:t>
      </w:r>
      <w:r>
        <w:rPr>
          <w:rFonts w:ascii="Times New Roman" w:eastAsia="Times New Roman" w:hAnsi="Times New Roman"/>
          <w:w w:val="95"/>
        </w:rPr>
        <w:t>“</w:t>
      </w:r>
      <w:r>
        <w:rPr>
          <w:w w:val="95"/>
        </w:rPr>
        <w:t>三公</w:t>
      </w:r>
      <w:r>
        <w:rPr>
          <w:rFonts w:ascii="Times New Roman" w:eastAsia="Times New Roman" w:hAnsi="Times New Roman"/>
          <w:w w:val="95"/>
        </w:rPr>
        <w:t>”</w:t>
      </w:r>
      <w:r>
        <w:rPr>
          <w:spacing w:val="-3"/>
          <w:w w:val="95"/>
        </w:rPr>
        <w:t xml:space="preserve">经费，指 </w:t>
      </w:r>
      <w:r>
        <w:rPr>
          <w:spacing w:val="-6"/>
        </w:rPr>
        <w:t>部门使用财政拨款安排的因公出国</w:t>
      </w:r>
      <w:r>
        <w:t>（境</w:t>
      </w:r>
      <w:r>
        <w:rPr>
          <w:spacing w:val="-39"/>
        </w:rPr>
        <w:t>）</w:t>
      </w:r>
      <w:r>
        <w:rPr>
          <w:spacing w:val="-7"/>
        </w:rPr>
        <w:t>费、公务用车购置及运</w:t>
      </w:r>
      <w:r>
        <w:rPr>
          <w:spacing w:val="-13"/>
          <w:w w:val="95"/>
        </w:rPr>
        <w:t>行费和公务接待费。其中，因公出国</w:t>
      </w:r>
      <w:r>
        <w:rPr>
          <w:w w:val="95"/>
        </w:rPr>
        <w:t>（境</w:t>
      </w:r>
      <w:r>
        <w:rPr>
          <w:spacing w:val="-29"/>
          <w:w w:val="95"/>
        </w:rPr>
        <w:t>）</w:t>
      </w:r>
      <w:r>
        <w:rPr>
          <w:w w:val="95"/>
        </w:rPr>
        <w:t>费反映单位公务出国</w:t>
      </w:r>
    </w:p>
    <w:p w:rsidR="00D6391A" w:rsidRDefault="003F0A33">
      <w:pPr>
        <w:pStyle w:val="a4"/>
        <w:spacing w:line="345" w:lineRule="auto"/>
        <w:ind w:left="111" w:right="409"/>
        <w:jc w:val="both"/>
      </w:pPr>
      <w:r>
        <w:t>（境</w:t>
      </w:r>
      <w:r>
        <w:rPr>
          <w:spacing w:val="-24"/>
        </w:rPr>
        <w:t>）</w:t>
      </w:r>
      <w:r>
        <w:rPr>
          <w:spacing w:val="-8"/>
        </w:rPr>
        <w:t>的国际旅费、国外城市间交通费、住宿费、伙食费、培训</w:t>
      </w:r>
      <w:r>
        <w:rPr>
          <w:spacing w:val="-12"/>
          <w:w w:val="95"/>
        </w:rPr>
        <w:t xml:space="preserve">费、公杂费等支出；公务用车购置及运行费反映单位公务用车车 </w:t>
      </w:r>
      <w:r>
        <w:rPr>
          <w:spacing w:val="-14"/>
          <w:w w:val="95"/>
        </w:rPr>
        <w:t>辆购置支出</w:t>
      </w:r>
      <w:r>
        <w:rPr>
          <w:w w:val="95"/>
        </w:rPr>
        <w:t>（含车辆购置税</w:t>
      </w:r>
      <w:r>
        <w:rPr>
          <w:spacing w:val="-22"/>
          <w:w w:val="95"/>
        </w:rPr>
        <w:t>）</w:t>
      </w:r>
      <w:r>
        <w:rPr>
          <w:spacing w:val="-10"/>
          <w:w w:val="95"/>
        </w:rPr>
        <w:t xml:space="preserve">及租用费、燃料费、维修费、过路 </w:t>
      </w:r>
      <w:r>
        <w:rPr>
          <w:spacing w:val="-14"/>
          <w:w w:val="95"/>
        </w:rPr>
        <w:t xml:space="preserve">过桥费、保险费、安全奖励费用等支出；公务接待费反映单位按 </w:t>
      </w:r>
      <w:r>
        <w:rPr>
          <w:spacing w:val="-14"/>
        </w:rPr>
        <w:t>规定开支的各类公务接待（含外宾接待）支出。</w:t>
      </w:r>
    </w:p>
    <w:p w:rsidR="00D6391A" w:rsidRDefault="003F0A33">
      <w:pPr>
        <w:pStyle w:val="a4"/>
        <w:spacing w:line="345" w:lineRule="auto"/>
        <w:ind w:left="111" w:right="293" w:firstLine="640"/>
      </w:pPr>
      <w:r>
        <w:rPr>
          <w:rFonts w:ascii="楷体" w:eastAsia="楷体" w:hint="eastAsia"/>
          <w:spacing w:val="-6"/>
        </w:rPr>
        <w:t>十一、机关运行经费</w:t>
      </w:r>
      <w:r>
        <w:rPr>
          <w:spacing w:val="-11"/>
        </w:rPr>
        <w:t>：为保障行政单位</w:t>
      </w:r>
      <w:r>
        <w:t>（含参照公务员法管理的事业单位</w:t>
      </w:r>
      <w:r>
        <w:rPr>
          <w:spacing w:val="-58"/>
        </w:rPr>
        <w:t>）</w:t>
      </w:r>
      <w:r>
        <w:rPr>
          <w:spacing w:val="-4"/>
        </w:rPr>
        <w:t>运行用于购买货物和服务的各项资金，包括办公</w:t>
      </w:r>
      <w:r>
        <w:rPr>
          <w:spacing w:val="-12"/>
        </w:rPr>
        <w:t>及印刷费、邮电费、差旅费、会议费、福利费、日常维修费、专用材料及一般设备购置费、办公用房水电费、办公用房取暖费、</w:t>
      </w:r>
      <w:r>
        <w:rPr>
          <w:spacing w:val="-15"/>
        </w:rPr>
        <w:t>办公用房物业管理费、公务用车运行维护费以及其他费用。我部</w:t>
      </w:r>
      <w:r>
        <w:rPr>
          <w:spacing w:val="-16"/>
        </w:rPr>
        <w:t>门所属预算单位有市卫生健康委</w:t>
      </w:r>
      <w:r>
        <w:t>（本级</w:t>
      </w:r>
      <w:r>
        <w:rPr>
          <w:spacing w:val="-27"/>
        </w:rPr>
        <w:t>）</w:t>
      </w:r>
      <w:r>
        <w:rPr>
          <w:spacing w:val="-9"/>
        </w:rPr>
        <w:t>、市计划生育协会、市人口和计划生育药具管理站，具体预算内容包括公用经费、离</w:t>
      </w:r>
    </w:p>
    <w:p w:rsidR="00D6391A" w:rsidRDefault="003F0A33">
      <w:pPr>
        <w:pStyle w:val="a4"/>
        <w:spacing w:line="408" w:lineRule="exact"/>
        <w:ind w:left="111"/>
      </w:pPr>
      <w:r>
        <w:t>（退）休人员公用支出、工会经费和福利费。</w:t>
      </w:r>
    </w:p>
    <w:p w:rsidR="00D6391A" w:rsidRDefault="003F0A33">
      <w:pPr>
        <w:pStyle w:val="a4"/>
        <w:spacing w:before="178" w:line="345" w:lineRule="auto"/>
        <w:ind w:left="111" w:right="409" w:firstLine="640"/>
        <w:jc w:val="both"/>
      </w:pPr>
      <w:r>
        <w:rPr>
          <w:rFonts w:ascii="楷体" w:eastAsia="楷体" w:hint="eastAsia"/>
          <w:spacing w:val="-8"/>
          <w:w w:val="95"/>
        </w:rPr>
        <w:t>十二、工资福利支出</w:t>
      </w:r>
      <w:r>
        <w:rPr>
          <w:spacing w:val="-8"/>
          <w:w w:val="95"/>
        </w:rPr>
        <w:t xml:space="preserve">：单位支付给在职职工和编制外长期聘 </w:t>
      </w:r>
      <w:r>
        <w:rPr>
          <w:spacing w:val="-14"/>
          <w:w w:val="95"/>
        </w:rPr>
        <w:t xml:space="preserve">用人员的各类劳动报酬，以及为上述人员缴纳的各项社会保险费 </w:t>
      </w:r>
      <w:r>
        <w:rPr>
          <w:spacing w:val="-14"/>
        </w:rPr>
        <w:t>等。</w:t>
      </w:r>
    </w:p>
    <w:p w:rsidR="00D6391A" w:rsidRDefault="003F0A33">
      <w:pPr>
        <w:pStyle w:val="a4"/>
        <w:spacing w:line="408" w:lineRule="exact"/>
        <w:ind w:left="751"/>
      </w:pPr>
      <w:r>
        <w:rPr>
          <w:rFonts w:ascii="楷体" w:eastAsia="楷体" w:hint="eastAsia"/>
        </w:rPr>
        <w:t>十三、商品和服务支出：</w:t>
      </w:r>
      <w:r>
        <w:t>单位购买商品和服务的支出。</w:t>
      </w:r>
    </w:p>
    <w:p w:rsidR="00D6391A" w:rsidRDefault="00D6391A">
      <w:pPr>
        <w:spacing w:line="408" w:lineRule="exact"/>
        <w:sectPr w:rsidR="00D6391A">
          <w:pgSz w:w="11910" w:h="16840"/>
          <w:pgMar w:top="1580" w:right="1120" w:bottom="280" w:left="1420" w:header="720" w:footer="720" w:gutter="0"/>
          <w:cols w:space="720"/>
        </w:sectPr>
      </w:pPr>
    </w:p>
    <w:p w:rsidR="00D6391A" w:rsidRDefault="00D6391A">
      <w:pPr>
        <w:pStyle w:val="a4"/>
        <w:rPr>
          <w:sz w:val="20"/>
        </w:rPr>
      </w:pPr>
    </w:p>
    <w:p w:rsidR="00D6391A" w:rsidRDefault="00D6391A">
      <w:pPr>
        <w:pStyle w:val="a4"/>
        <w:spacing w:before="9"/>
        <w:rPr>
          <w:sz w:val="17"/>
        </w:rPr>
      </w:pPr>
    </w:p>
    <w:p w:rsidR="00D6391A" w:rsidRDefault="003F0A33">
      <w:pPr>
        <w:pStyle w:val="a4"/>
        <w:spacing w:before="55" w:line="345" w:lineRule="auto"/>
        <w:ind w:left="111" w:right="411" w:firstLine="640"/>
      </w:pPr>
      <w:r>
        <w:rPr>
          <w:rFonts w:ascii="楷体" w:eastAsia="楷体" w:hint="eastAsia"/>
          <w:spacing w:val="-8"/>
          <w:w w:val="95"/>
        </w:rPr>
        <w:t>十四、对个人和家庭的补助支出</w:t>
      </w:r>
      <w:r>
        <w:rPr>
          <w:spacing w:val="-8"/>
          <w:w w:val="95"/>
        </w:rPr>
        <w:t xml:space="preserve">：单位用于对个人和家庭的 </w:t>
      </w:r>
      <w:r>
        <w:rPr>
          <w:spacing w:val="-8"/>
        </w:rPr>
        <w:t>补助支出。</w:t>
      </w:r>
    </w:p>
    <w:p w:rsidR="00D6391A" w:rsidRDefault="003F0A33">
      <w:pPr>
        <w:pStyle w:val="a4"/>
        <w:spacing w:line="345" w:lineRule="auto"/>
        <w:ind w:left="111" w:right="409" w:firstLine="640"/>
        <w:jc w:val="both"/>
      </w:pPr>
      <w:r>
        <w:rPr>
          <w:rFonts w:ascii="楷体" w:eastAsia="楷体" w:hint="eastAsia"/>
          <w:spacing w:val="-6"/>
        </w:rPr>
        <w:t>十五、年末结转</w:t>
      </w:r>
      <w:r>
        <w:rPr>
          <w:spacing w:val="-10"/>
        </w:rPr>
        <w:t>：本年度或以前年度预算安排，已执行但尚</w:t>
      </w:r>
      <w:r>
        <w:rPr>
          <w:spacing w:val="-15"/>
        </w:rPr>
        <w:t>未完成或因客观条件发生变化无法按原计划实施，需延迟到以后年度按有关规定继续使用的资金。</w:t>
      </w:r>
    </w:p>
    <w:p w:rsidR="00D6391A" w:rsidRDefault="003F0A33">
      <w:pPr>
        <w:pStyle w:val="a4"/>
        <w:spacing w:line="345" w:lineRule="auto"/>
        <w:ind w:left="111" w:right="409" w:firstLine="640"/>
        <w:jc w:val="both"/>
        <w:rPr>
          <w:spacing w:val="-15"/>
        </w:rPr>
      </w:pPr>
      <w:r>
        <w:rPr>
          <w:rFonts w:ascii="楷体" w:eastAsia="楷体" w:hint="eastAsia"/>
          <w:spacing w:val="-6"/>
        </w:rPr>
        <w:t>十六、年末结余</w:t>
      </w:r>
      <w:r>
        <w:rPr>
          <w:spacing w:val="-10"/>
        </w:rPr>
        <w:t>：本年度或以前年度预算安排，已执行完毕</w:t>
      </w:r>
      <w:r>
        <w:rPr>
          <w:spacing w:val="-15"/>
        </w:rPr>
        <w:t>或因客观条件发生变化无法按原预算安排实施，不需要再使用或无法按原预算安排继续使用的资金。</w:t>
      </w:r>
    </w:p>
    <w:p w:rsidR="00D6391A" w:rsidRDefault="00D6391A">
      <w:pPr>
        <w:pStyle w:val="a4"/>
        <w:spacing w:line="345" w:lineRule="auto"/>
        <w:ind w:left="111" w:right="409" w:firstLine="640"/>
        <w:jc w:val="both"/>
        <w:rPr>
          <w:spacing w:val="-15"/>
        </w:rPr>
      </w:pPr>
    </w:p>
    <w:p w:rsidR="00D6391A" w:rsidRDefault="00D6391A">
      <w:pPr>
        <w:widowControl/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6391A" w:rsidSect="00D6391A">
      <w:pgSz w:w="11906" w:h="16838"/>
      <w:pgMar w:top="1928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1A" w:rsidRDefault="00D6391A" w:rsidP="00D6391A">
      <w:r>
        <w:separator/>
      </w:r>
    </w:p>
  </w:endnote>
  <w:endnote w:type="continuationSeparator" w:id="1">
    <w:p w:rsidR="00D6391A" w:rsidRDefault="00D6391A" w:rsidP="00D6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4A" w:rsidRDefault="00EF4D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4A" w:rsidRDefault="00EF4D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4A" w:rsidRDefault="00EF4D4A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A" w:rsidRDefault="00B71C4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5" o:spid="_x0000_s2049" type="#_x0000_t202" style="position:absolute;margin-left:0;margin-top:0;width:2in;height:2in;z-index:25165875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391A" w:rsidRDefault="00B71C4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F0A3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F4D4A">
                  <w:rPr>
                    <w:noProof/>
                    <w:sz w:val="18"/>
                  </w:rPr>
                  <w:t>- 10 -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A" w:rsidRDefault="00B71C4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4" o:spid="_x0000_s2050" type="#_x0000_t202" style="position:absolute;margin-left:0;margin-top:0;width:2in;height:2in;z-index:25165772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391A" w:rsidRDefault="00B71C4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F0A3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F4D4A">
                  <w:rPr>
                    <w:noProof/>
                    <w:sz w:val="18"/>
                  </w:rPr>
                  <w:t>- 11 -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1027" o:spid="_x0000_s2051" type="#_x0000_t202" style="position:absolute;margin-left:0;margin-top:0;width:2in;height:2in;z-index:25165670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6391A" w:rsidRDefault="00D6391A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1A" w:rsidRDefault="00D6391A" w:rsidP="00D6391A">
      <w:r>
        <w:separator/>
      </w:r>
    </w:p>
  </w:footnote>
  <w:footnote w:type="continuationSeparator" w:id="1">
    <w:p w:rsidR="00D6391A" w:rsidRDefault="00D6391A" w:rsidP="00D63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4A" w:rsidRDefault="00EF4D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1A" w:rsidRDefault="00D6391A" w:rsidP="00EF4D4A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4A" w:rsidRDefault="00EF4D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9A9"/>
    <w:multiLevelType w:val="multilevel"/>
    <w:tmpl w:val="2A7329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8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F57"/>
    <w:rsid w:val="00010B90"/>
    <w:rsid w:val="00021073"/>
    <w:rsid w:val="00023B29"/>
    <w:rsid w:val="000270E8"/>
    <w:rsid w:val="0005285F"/>
    <w:rsid w:val="00057AFD"/>
    <w:rsid w:val="0007030A"/>
    <w:rsid w:val="00076410"/>
    <w:rsid w:val="0007714F"/>
    <w:rsid w:val="00085ED2"/>
    <w:rsid w:val="000912FC"/>
    <w:rsid w:val="000971D6"/>
    <w:rsid w:val="000A0E09"/>
    <w:rsid w:val="000B2480"/>
    <w:rsid w:val="000B366C"/>
    <w:rsid w:val="000B4BE0"/>
    <w:rsid w:val="000C073B"/>
    <w:rsid w:val="000C6B99"/>
    <w:rsid w:val="000D3091"/>
    <w:rsid w:val="000D7DC1"/>
    <w:rsid w:val="000F707F"/>
    <w:rsid w:val="001003F8"/>
    <w:rsid w:val="001056E1"/>
    <w:rsid w:val="001105D2"/>
    <w:rsid w:val="001247C8"/>
    <w:rsid w:val="00125B32"/>
    <w:rsid w:val="00131408"/>
    <w:rsid w:val="00144159"/>
    <w:rsid w:val="001506E2"/>
    <w:rsid w:val="00152ADB"/>
    <w:rsid w:val="00155D84"/>
    <w:rsid w:val="00157077"/>
    <w:rsid w:val="00164953"/>
    <w:rsid w:val="00171570"/>
    <w:rsid w:val="001718A8"/>
    <w:rsid w:val="00171FCB"/>
    <w:rsid w:val="00172A27"/>
    <w:rsid w:val="0017346F"/>
    <w:rsid w:val="00182842"/>
    <w:rsid w:val="001838E6"/>
    <w:rsid w:val="00187FFA"/>
    <w:rsid w:val="001905F2"/>
    <w:rsid w:val="001A32B8"/>
    <w:rsid w:val="001A370C"/>
    <w:rsid w:val="001B2EEC"/>
    <w:rsid w:val="001C046C"/>
    <w:rsid w:val="001C074D"/>
    <w:rsid w:val="001C47EE"/>
    <w:rsid w:val="001C4E17"/>
    <w:rsid w:val="001D0E60"/>
    <w:rsid w:val="001D31C6"/>
    <w:rsid w:val="001D49AA"/>
    <w:rsid w:val="001D61B1"/>
    <w:rsid w:val="001E2203"/>
    <w:rsid w:val="001F5040"/>
    <w:rsid w:val="002006EB"/>
    <w:rsid w:val="00201B1A"/>
    <w:rsid w:val="002064E3"/>
    <w:rsid w:val="00206FA0"/>
    <w:rsid w:val="00212809"/>
    <w:rsid w:val="00213209"/>
    <w:rsid w:val="00221BBF"/>
    <w:rsid w:val="002236F5"/>
    <w:rsid w:val="0024358F"/>
    <w:rsid w:val="002556BC"/>
    <w:rsid w:val="00260264"/>
    <w:rsid w:val="00260D70"/>
    <w:rsid w:val="00282C7F"/>
    <w:rsid w:val="00282CA6"/>
    <w:rsid w:val="00287811"/>
    <w:rsid w:val="00293C9C"/>
    <w:rsid w:val="002B0F61"/>
    <w:rsid w:val="002B3E55"/>
    <w:rsid w:val="002B3F94"/>
    <w:rsid w:val="002B4BCA"/>
    <w:rsid w:val="002B7319"/>
    <w:rsid w:val="002D7D87"/>
    <w:rsid w:val="002E6A86"/>
    <w:rsid w:val="002F5CC8"/>
    <w:rsid w:val="0030193F"/>
    <w:rsid w:val="00302102"/>
    <w:rsid w:val="00302349"/>
    <w:rsid w:val="00302982"/>
    <w:rsid w:val="0030337B"/>
    <w:rsid w:val="00304D04"/>
    <w:rsid w:val="00305B88"/>
    <w:rsid w:val="00306E9C"/>
    <w:rsid w:val="00306EA5"/>
    <w:rsid w:val="00315FEB"/>
    <w:rsid w:val="003241AA"/>
    <w:rsid w:val="003255DC"/>
    <w:rsid w:val="003330FB"/>
    <w:rsid w:val="00336FBE"/>
    <w:rsid w:val="003410F5"/>
    <w:rsid w:val="00356EE1"/>
    <w:rsid w:val="00381946"/>
    <w:rsid w:val="00392AE8"/>
    <w:rsid w:val="0039301B"/>
    <w:rsid w:val="003B4DAB"/>
    <w:rsid w:val="003B59D4"/>
    <w:rsid w:val="003C28C8"/>
    <w:rsid w:val="003D29B0"/>
    <w:rsid w:val="003D5003"/>
    <w:rsid w:val="003F0A33"/>
    <w:rsid w:val="003F6CC9"/>
    <w:rsid w:val="00403F78"/>
    <w:rsid w:val="0040571F"/>
    <w:rsid w:val="0041205A"/>
    <w:rsid w:val="0042585F"/>
    <w:rsid w:val="004259E1"/>
    <w:rsid w:val="00427CB2"/>
    <w:rsid w:val="00445CAC"/>
    <w:rsid w:val="00472E19"/>
    <w:rsid w:val="0048306B"/>
    <w:rsid w:val="0048706A"/>
    <w:rsid w:val="00487869"/>
    <w:rsid w:val="00493FF1"/>
    <w:rsid w:val="004A33AE"/>
    <w:rsid w:val="004C41DA"/>
    <w:rsid w:val="004D5275"/>
    <w:rsid w:val="004D6D8F"/>
    <w:rsid w:val="004E1EBD"/>
    <w:rsid w:val="00507364"/>
    <w:rsid w:val="00516CA1"/>
    <w:rsid w:val="00527D42"/>
    <w:rsid w:val="005329B3"/>
    <w:rsid w:val="005377B9"/>
    <w:rsid w:val="00540ACB"/>
    <w:rsid w:val="00541348"/>
    <w:rsid w:val="00546F7C"/>
    <w:rsid w:val="00552329"/>
    <w:rsid w:val="00553504"/>
    <w:rsid w:val="00556C2A"/>
    <w:rsid w:val="00561537"/>
    <w:rsid w:val="00572CD4"/>
    <w:rsid w:val="00592C33"/>
    <w:rsid w:val="005A0C2F"/>
    <w:rsid w:val="005B0B9C"/>
    <w:rsid w:val="005B1AE2"/>
    <w:rsid w:val="005C32E7"/>
    <w:rsid w:val="005D53AC"/>
    <w:rsid w:val="00604AE8"/>
    <w:rsid w:val="006228C4"/>
    <w:rsid w:val="00631841"/>
    <w:rsid w:val="00640967"/>
    <w:rsid w:val="00644359"/>
    <w:rsid w:val="006512DD"/>
    <w:rsid w:val="00652739"/>
    <w:rsid w:val="00656BEF"/>
    <w:rsid w:val="00656D75"/>
    <w:rsid w:val="00657E86"/>
    <w:rsid w:val="0067165B"/>
    <w:rsid w:val="00673EF7"/>
    <w:rsid w:val="00677FE7"/>
    <w:rsid w:val="006811A1"/>
    <w:rsid w:val="0069449E"/>
    <w:rsid w:val="00696BC5"/>
    <w:rsid w:val="006B6C89"/>
    <w:rsid w:val="006C07F0"/>
    <w:rsid w:val="006C1C31"/>
    <w:rsid w:val="006C1D43"/>
    <w:rsid w:val="006C644A"/>
    <w:rsid w:val="006C7D84"/>
    <w:rsid w:val="006E3F79"/>
    <w:rsid w:val="006E52CC"/>
    <w:rsid w:val="006F137A"/>
    <w:rsid w:val="006F5440"/>
    <w:rsid w:val="006F608E"/>
    <w:rsid w:val="00702EE1"/>
    <w:rsid w:val="007148E8"/>
    <w:rsid w:val="00732A8C"/>
    <w:rsid w:val="00733DAA"/>
    <w:rsid w:val="0073772C"/>
    <w:rsid w:val="00742BA0"/>
    <w:rsid w:val="007506F7"/>
    <w:rsid w:val="00753545"/>
    <w:rsid w:val="00764156"/>
    <w:rsid w:val="00766AF8"/>
    <w:rsid w:val="007706D7"/>
    <w:rsid w:val="00780769"/>
    <w:rsid w:val="007879ED"/>
    <w:rsid w:val="007A48A3"/>
    <w:rsid w:val="007A7388"/>
    <w:rsid w:val="007B404E"/>
    <w:rsid w:val="007B5D49"/>
    <w:rsid w:val="007C029F"/>
    <w:rsid w:val="007C6916"/>
    <w:rsid w:val="007C7F49"/>
    <w:rsid w:val="007D284A"/>
    <w:rsid w:val="007D2A21"/>
    <w:rsid w:val="007D3A69"/>
    <w:rsid w:val="007E104B"/>
    <w:rsid w:val="007E7DAB"/>
    <w:rsid w:val="007F6BB1"/>
    <w:rsid w:val="00803A47"/>
    <w:rsid w:val="00812FB5"/>
    <w:rsid w:val="00826139"/>
    <w:rsid w:val="0083232D"/>
    <w:rsid w:val="00843461"/>
    <w:rsid w:val="00843790"/>
    <w:rsid w:val="008452EA"/>
    <w:rsid w:val="00850433"/>
    <w:rsid w:val="00871468"/>
    <w:rsid w:val="00872946"/>
    <w:rsid w:val="008769F4"/>
    <w:rsid w:val="0088023A"/>
    <w:rsid w:val="008858FB"/>
    <w:rsid w:val="0088717F"/>
    <w:rsid w:val="008943EA"/>
    <w:rsid w:val="00894B41"/>
    <w:rsid w:val="0089697A"/>
    <w:rsid w:val="00897FE2"/>
    <w:rsid w:val="008B5427"/>
    <w:rsid w:val="008C261E"/>
    <w:rsid w:val="008D02B5"/>
    <w:rsid w:val="008E6E0F"/>
    <w:rsid w:val="00903F6B"/>
    <w:rsid w:val="00906F10"/>
    <w:rsid w:val="009173F9"/>
    <w:rsid w:val="00942A14"/>
    <w:rsid w:val="00957CD1"/>
    <w:rsid w:val="009613E7"/>
    <w:rsid w:val="00975A04"/>
    <w:rsid w:val="0097602B"/>
    <w:rsid w:val="00992315"/>
    <w:rsid w:val="00996E1C"/>
    <w:rsid w:val="009A1E20"/>
    <w:rsid w:val="009C26E0"/>
    <w:rsid w:val="009D5D3D"/>
    <w:rsid w:val="009F546E"/>
    <w:rsid w:val="009F5D96"/>
    <w:rsid w:val="00A079F0"/>
    <w:rsid w:val="00A1179D"/>
    <w:rsid w:val="00A35A51"/>
    <w:rsid w:val="00A36A3F"/>
    <w:rsid w:val="00A46CE7"/>
    <w:rsid w:val="00A51DF7"/>
    <w:rsid w:val="00A560C8"/>
    <w:rsid w:val="00A56F80"/>
    <w:rsid w:val="00A57BF7"/>
    <w:rsid w:val="00A73555"/>
    <w:rsid w:val="00A77B4F"/>
    <w:rsid w:val="00A81005"/>
    <w:rsid w:val="00A83564"/>
    <w:rsid w:val="00A83D8A"/>
    <w:rsid w:val="00A93E7D"/>
    <w:rsid w:val="00AA1233"/>
    <w:rsid w:val="00AA260E"/>
    <w:rsid w:val="00AA44CB"/>
    <w:rsid w:val="00AA67CD"/>
    <w:rsid w:val="00AB19AF"/>
    <w:rsid w:val="00AB3BC3"/>
    <w:rsid w:val="00AC5651"/>
    <w:rsid w:val="00AD31AE"/>
    <w:rsid w:val="00AD6761"/>
    <w:rsid w:val="00AE5E9A"/>
    <w:rsid w:val="00AE600E"/>
    <w:rsid w:val="00B0083B"/>
    <w:rsid w:val="00B0287E"/>
    <w:rsid w:val="00B074CF"/>
    <w:rsid w:val="00B209B8"/>
    <w:rsid w:val="00B2256B"/>
    <w:rsid w:val="00B2358D"/>
    <w:rsid w:val="00B249F3"/>
    <w:rsid w:val="00B30799"/>
    <w:rsid w:val="00B357FF"/>
    <w:rsid w:val="00B5658D"/>
    <w:rsid w:val="00B57A8D"/>
    <w:rsid w:val="00B6365E"/>
    <w:rsid w:val="00B65530"/>
    <w:rsid w:val="00B67190"/>
    <w:rsid w:val="00B710DD"/>
    <w:rsid w:val="00B71C4C"/>
    <w:rsid w:val="00B80230"/>
    <w:rsid w:val="00BA39D4"/>
    <w:rsid w:val="00BA3D2F"/>
    <w:rsid w:val="00BA4101"/>
    <w:rsid w:val="00BB4658"/>
    <w:rsid w:val="00BC408A"/>
    <w:rsid w:val="00BC67B6"/>
    <w:rsid w:val="00BD5E46"/>
    <w:rsid w:val="00BD5EAC"/>
    <w:rsid w:val="00BE5A85"/>
    <w:rsid w:val="00BF5718"/>
    <w:rsid w:val="00C069A7"/>
    <w:rsid w:val="00C3106E"/>
    <w:rsid w:val="00C4209D"/>
    <w:rsid w:val="00C60609"/>
    <w:rsid w:val="00C60A7C"/>
    <w:rsid w:val="00C64513"/>
    <w:rsid w:val="00C7414F"/>
    <w:rsid w:val="00C75959"/>
    <w:rsid w:val="00C87350"/>
    <w:rsid w:val="00C901CF"/>
    <w:rsid w:val="00C91B40"/>
    <w:rsid w:val="00C93F7A"/>
    <w:rsid w:val="00C95CC1"/>
    <w:rsid w:val="00CA1EC9"/>
    <w:rsid w:val="00CA3906"/>
    <w:rsid w:val="00CA3F44"/>
    <w:rsid w:val="00CB2C23"/>
    <w:rsid w:val="00CB3FF4"/>
    <w:rsid w:val="00CB7257"/>
    <w:rsid w:val="00CC15CE"/>
    <w:rsid w:val="00CD0A97"/>
    <w:rsid w:val="00CE212D"/>
    <w:rsid w:val="00CE4B38"/>
    <w:rsid w:val="00D1321A"/>
    <w:rsid w:val="00D1598C"/>
    <w:rsid w:val="00D2614A"/>
    <w:rsid w:val="00D30ADF"/>
    <w:rsid w:val="00D31EF7"/>
    <w:rsid w:val="00D44021"/>
    <w:rsid w:val="00D4594A"/>
    <w:rsid w:val="00D62B64"/>
    <w:rsid w:val="00D6315E"/>
    <w:rsid w:val="00D6391A"/>
    <w:rsid w:val="00D652C2"/>
    <w:rsid w:val="00D74EE2"/>
    <w:rsid w:val="00D83E19"/>
    <w:rsid w:val="00D932D5"/>
    <w:rsid w:val="00DA00C9"/>
    <w:rsid w:val="00DB200E"/>
    <w:rsid w:val="00DB65F5"/>
    <w:rsid w:val="00DE6C40"/>
    <w:rsid w:val="00DF0F98"/>
    <w:rsid w:val="00E01C3E"/>
    <w:rsid w:val="00E02332"/>
    <w:rsid w:val="00E13099"/>
    <w:rsid w:val="00E4339F"/>
    <w:rsid w:val="00E47591"/>
    <w:rsid w:val="00E53558"/>
    <w:rsid w:val="00E629EA"/>
    <w:rsid w:val="00E6777C"/>
    <w:rsid w:val="00E725DF"/>
    <w:rsid w:val="00E80D60"/>
    <w:rsid w:val="00E834AF"/>
    <w:rsid w:val="00E85C76"/>
    <w:rsid w:val="00E86050"/>
    <w:rsid w:val="00E91C9D"/>
    <w:rsid w:val="00E928B5"/>
    <w:rsid w:val="00E95569"/>
    <w:rsid w:val="00EA4ACB"/>
    <w:rsid w:val="00EB05A3"/>
    <w:rsid w:val="00EB2145"/>
    <w:rsid w:val="00EC253D"/>
    <w:rsid w:val="00ED1BDF"/>
    <w:rsid w:val="00ED2DAB"/>
    <w:rsid w:val="00ED38B7"/>
    <w:rsid w:val="00EE051D"/>
    <w:rsid w:val="00EE6A72"/>
    <w:rsid w:val="00EF4D4A"/>
    <w:rsid w:val="00EF4D5A"/>
    <w:rsid w:val="00F0131A"/>
    <w:rsid w:val="00F14C17"/>
    <w:rsid w:val="00F17041"/>
    <w:rsid w:val="00F202DD"/>
    <w:rsid w:val="00F228DD"/>
    <w:rsid w:val="00F23370"/>
    <w:rsid w:val="00F34D90"/>
    <w:rsid w:val="00F416E9"/>
    <w:rsid w:val="00F44937"/>
    <w:rsid w:val="00F5514B"/>
    <w:rsid w:val="00F61A47"/>
    <w:rsid w:val="00F644F6"/>
    <w:rsid w:val="00F67E08"/>
    <w:rsid w:val="00F74CF4"/>
    <w:rsid w:val="00F81705"/>
    <w:rsid w:val="00F84422"/>
    <w:rsid w:val="00F871D6"/>
    <w:rsid w:val="00F95455"/>
    <w:rsid w:val="00FA0086"/>
    <w:rsid w:val="00FA574D"/>
    <w:rsid w:val="00FA6B9B"/>
    <w:rsid w:val="00FA79FE"/>
    <w:rsid w:val="00FB077E"/>
    <w:rsid w:val="00FB74B1"/>
    <w:rsid w:val="00FC2194"/>
    <w:rsid w:val="00FC2C18"/>
    <w:rsid w:val="00FC3C3E"/>
    <w:rsid w:val="00FD0C4D"/>
    <w:rsid w:val="00FD1CE2"/>
    <w:rsid w:val="00FE7AD9"/>
    <w:rsid w:val="00FF2E80"/>
    <w:rsid w:val="01322275"/>
    <w:rsid w:val="019B717E"/>
    <w:rsid w:val="01DC6F05"/>
    <w:rsid w:val="02A3489A"/>
    <w:rsid w:val="02CA138D"/>
    <w:rsid w:val="02E238C3"/>
    <w:rsid w:val="033646FC"/>
    <w:rsid w:val="03C75F80"/>
    <w:rsid w:val="0478364D"/>
    <w:rsid w:val="04AF4BA4"/>
    <w:rsid w:val="050E70CD"/>
    <w:rsid w:val="053D4C0D"/>
    <w:rsid w:val="0557532E"/>
    <w:rsid w:val="0799329C"/>
    <w:rsid w:val="086F16A7"/>
    <w:rsid w:val="0A0F7225"/>
    <w:rsid w:val="0A2B7D82"/>
    <w:rsid w:val="0ADC40E9"/>
    <w:rsid w:val="0AE607F4"/>
    <w:rsid w:val="0B451598"/>
    <w:rsid w:val="0BEC73F4"/>
    <w:rsid w:val="0C392698"/>
    <w:rsid w:val="0D224EC2"/>
    <w:rsid w:val="10BD36F6"/>
    <w:rsid w:val="11BF0649"/>
    <w:rsid w:val="123E3E08"/>
    <w:rsid w:val="12F66B4A"/>
    <w:rsid w:val="161C2DFF"/>
    <w:rsid w:val="16373578"/>
    <w:rsid w:val="16D3336B"/>
    <w:rsid w:val="17806C36"/>
    <w:rsid w:val="17A74F62"/>
    <w:rsid w:val="18A47774"/>
    <w:rsid w:val="19352BDA"/>
    <w:rsid w:val="19C13DCF"/>
    <w:rsid w:val="1B2E6FD8"/>
    <w:rsid w:val="1B877D21"/>
    <w:rsid w:val="1C4319A9"/>
    <w:rsid w:val="1E4D68A4"/>
    <w:rsid w:val="1E994F4A"/>
    <w:rsid w:val="1EAF0224"/>
    <w:rsid w:val="1F2230A4"/>
    <w:rsid w:val="20210932"/>
    <w:rsid w:val="202448E0"/>
    <w:rsid w:val="20BE3E6B"/>
    <w:rsid w:val="21302EEA"/>
    <w:rsid w:val="22376FB5"/>
    <w:rsid w:val="23E152D7"/>
    <w:rsid w:val="255D43C8"/>
    <w:rsid w:val="25FD0CE5"/>
    <w:rsid w:val="26876BDD"/>
    <w:rsid w:val="2714632A"/>
    <w:rsid w:val="27B0539E"/>
    <w:rsid w:val="29365CF8"/>
    <w:rsid w:val="29397105"/>
    <w:rsid w:val="299469B3"/>
    <w:rsid w:val="29BE69C3"/>
    <w:rsid w:val="2A805789"/>
    <w:rsid w:val="2B4A0E52"/>
    <w:rsid w:val="2C975890"/>
    <w:rsid w:val="2DEF21BB"/>
    <w:rsid w:val="2E4A2F05"/>
    <w:rsid w:val="2ECC1061"/>
    <w:rsid w:val="2FA476AD"/>
    <w:rsid w:val="303F7540"/>
    <w:rsid w:val="31DD00BF"/>
    <w:rsid w:val="328B2FA1"/>
    <w:rsid w:val="3293174C"/>
    <w:rsid w:val="32936002"/>
    <w:rsid w:val="32BB38D4"/>
    <w:rsid w:val="32C9376D"/>
    <w:rsid w:val="33780472"/>
    <w:rsid w:val="33933F43"/>
    <w:rsid w:val="33AF0905"/>
    <w:rsid w:val="34EB6088"/>
    <w:rsid w:val="355932F4"/>
    <w:rsid w:val="35611882"/>
    <w:rsid w:val="35EB0033"/>
    <w:rsid w:val="36746FC3"/>
    <w:rsid w:val="368763AE"/>
    <w:rsid w:val="395D59E7"/>
    <w:rsid w:val="39A93932"/>
    <w:rsid w:val="3A915562"/>
    <w:rsid w:val="3B8D4765"/>
    <w:rsid w:val="3C000DBA"/>
    <w:rsid w:val="3DC045D3"/>
    <w:rsid w:val="3E504FFB"/>
    <w:rsid w:val="3E615CD0"/>
    <w:rsid w:val="3E9C47F6"/>
    <w:rsid w:val="3FAB3095"/>
    <w:rsid w:val="3FE45947"/>
    <w:rsid w:val="412253A8"/>
    <w:rsid w:val="41242965"/>
    <w:rsid w:val="42D4120D"/>
    <w:rsid w:val="435671EA"/>
    <w:rsid w:val="440809E9"/>
    <w:rsid w:val="442407A6"/>
    <w:rsid w:val="44805EA1"/>
    <w:rsid w:val="451A1CB3"/>
    <w:rsid w:val="45710696"/>
    <w:rsid w:val="46142B1B"/>
    <w:rsid w:val="46C14AA3"/>
    <w:rsid w:val="47E60DD0"/>
    <w:rsid w:val="481C151D"/>
    <w:rsid w:val="482A1360"/>
    <w:rsid w:val="48735039"/>
    <w:rsid w:val="492C684B"/>
    <w:rsid w:val="49500594"/>
    <w:rsid w:val="49E7604E"/>
    <w:rsid w:val="4BF67CDD"/>
    <w:rsid w:val="4D603DD6"/>
    <w:rsid w:val="4EBF010F"/>
    <w:rsid w:val="4EEA5D2A"/>
    <w:rsid w:val="4EF95324"/>
    <w:rsid w:val="4F471EB0"/>
    <w:rsid w:val="51015B9F"/>
    <w:rsid w:val="51331326"/>
    <w:rsid w:val="51740A7F"/>
    <w:rsid w:val="51A5541E"/>
    <w:rsid w:val="51C96242"/>
    <w:rsid w:val="537F55D7"/>
    <w:rsid w:val="54341889"/>
    <w:rsid w:val="54F46F60"/>
    <w:rsid w:val="55A37BEA"/>
    <w:rsid w:val="5784687B"/>
    <w:rsid w:val="57846959"/>
    <w:rsid w:val="578E6A87"/>
    <w:rsid w:val="58907098"/>
    <w:rsid w:val="5A5738FA"/>
    <w:rsid w:val="5AC2203A"/>
    <w:rsid w:val="5CBB3334"/>
    <w:rsid w:val="5D115FAF"/>
    <w:rsid w:val="62811722"/>
    <w:rsid w:val="62E75A72"/>
    <w:rsid w:val="63DC186C"/>
    <w:rsid w:val="63F7026C"/>
    <w:rsid w:val="64571880"/>
    <w:rsid w:val="649125B6"/>
    <w:rsid w:val="652F4C1A"/>
    <w:rsid w:val="666D37F1"/>
    <w:rsid w:val="67087D8F"/>
    <w:rsid w:val="671F687E"/>
    <w:rsid w:val="67F415F8"/>
    <w:rsid w:val="684B73E5"/>
    <w:rsid w:val="6A047A2A"/>
    <w:rsid w:val="6D1D2ABE"/>
    <w:rsid w:val="6F3831C3"/>
    <w:rsid w:val="70417DD1"/>
    <w:rsid w:val="70753482"/>
    <w:rsid w:val="707B522A"/>
    <w:rsid w:val="73194D05"/>
    <w:rsid w:val="736175F0"/>
    <w:rsid w:val="73A83B0E"/>
    <w:rsid w:val="744D3EF9"/>
    <w:rsid w:val="74794411"/>
    <w:rsid w:val="75867C40"/>
    <w:rsid w:val="76432199"/>
    <w:rsid w:val="76F44829"/>
    <w:rsid w:val="77A267C0"/>
    <w:rsid w:val="78882278"/>
    <w:rsid w:val="78B118A6"/>
    <w:rsid w:val="78DE16F4"/>
    <w:rsid w:val="79135044"/>
    <w:rsid w:val="7A644B5B"/>
    <w:rsid w:val="7A7D0F99"/>
    <w:rsid w:val="7B2A08DE"/>
    <w:rsid w:val="7EFD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63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D6391A"/>
    <w:pPr>
      <w:jc w:val="left"/>
    </w:pPr>
  </w:style>
  <w:style w:type="paragraph" w:styleId="a4">
    <w:name w:val="Body Text"/>
    <w:basedOn w:val="a"/>
    <w:link w:val="Char"/>
    <w:uiPriority w:val="1"/>
    <w:qFormat/>
    <w:rsid w:val="00D6391A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Char0"/>
    <w:uiPriority w:val="99"/>
    <w:unhideWhenUsed/>
    <w:rsid w:val="00D639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6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D639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D6391A"/>
    <w:rPr>
      <w:color w:val="800080"/>
      <w:u w:val="single"/>
    </w:rPr>
  </w:style>
  <w:style w:type="character" w:styleId="aa">
    <w:name w:val="Hyperlink"/>
    <w:uiPriority w:val="99"/>
    <w:unhideWhenUsed/>
    <w:rsid w:val="00D6391A"/>
    <w:rPr>
      <w:color w:val="0000FF"/>
      <w:u w:val="single"/>
    </w:rPr>
  </w:style>
  <w:style w:type="character" w:customStyle="1" w:styleId="Char0">
    <w:name w:val="批注框文本 Char"/>
    <w:basedOn w:val="a0"/>
    <w:link w:val="a5"/>
    <w:uiPriority w:val="99"/>
    <w:semiHidden/>
    <w:rsid w:val="00D6391A"/>
    <w:rPr>
      <w:kern w:val="2"/>
      <w:sz w:val="18"/>
      <w:szCs w:val="18"/>
    </w:rPr>
  </w:style>
  <w:style w:type="character" w:customStyle="1" w:styleId="font21">
    <w:name w:val="font21"/>
    <w:basedOn w:val="a0"/>
    <w:rsid w:val="00D639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1">
    <w:name w:val="页脚 Char"/>
    <w:link w:val="a6"/>
    <w:uiPriority w:val="99"/>
    <w:rsid w:val="00D6391A"/>
    <w:rPr>
      <w:kern w:val="2"/>
      <w:sz w:val="18"/>
      <w:szCs w:val="18"/>
    </w:rPr>
  </w:style>
  <w:style w:type="character" w:customStyle="1" w:styleId="font51">
    <w:name w:val="font51"/>
    <w:basedOn w:val="a0"/>
    <w:rsid w:val="00D639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D6391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D6391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D6391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2">
    <w:name w:val="页眉 Char"/>
    <w:link w:val="a7"/>
    <w:uiPriority w:val="99"/>
    <w:rsid w:val="00D6391A"/>
    <w:rPr>
      <w:kern w:val="2"/>
      <w:sz w:val="18"/>
      <w:szCs w:val="18"/>
    </w:rPr>
  </w:style>
  <w:style w:type="paragraph" w:customStyle="1" w:styleId="10">
    <w:name w:val="标题1"/>
    <w:basedOn w:val="1"/>
    <w:qFormat/>
    <w:rsid w:val="00D6391A"/>
    <w:pPr>
      <w:spacing w:before="0" w:after="0" w:line="240" w:lineRule="auto"/>
      <w:jc w:val="center"/>
    </w:pPr>
    <w:rPr>
      <w:rFonts w:ascii="华文中宋" w:eastAsia="华文中宋" w:hAnsi="华文中宋"/>
      <w:sz w:val="36"/>
      <w:szCs w:val="36"/>
    </w:rPr>
  </w:style>
  <w:style w:type="character" w:customStyle="1" w:styleId="Char">
    <w:name w:val="正文文本 Char"/>
    <w:basedOn w:val="a0"/>
    <w:link w:val="a4"/>
    <w:uiPriority w:val="1"/>
    <w:rsid w:val="00D6391A"/>
    <w:rPr>
      <w:rFonts w:ascii="仿宋" w:eastAsia="仿宋" w:hAnsi="仿宋" w:cs="仿宋"/>
      <w:sz w:val="32"/>
      <w:szCs w:val="32"/>
      <w:lang w:val="zh-CN" w:bidi="zh-CN"/>
    </w:rPr>
  </w:style>
  <w:style w:type="paragraph" w:styleId="ab">
    <w:name w:val="List Paragraph"/>
    <w:basedOn w:val="a"/>
    <w:uiPriority w:val="1"/>
    <w:qFormat/>
    <w:rsid w:val="00D6391A"/>
    <w:pPr>
      <w:autoSpaceDE w:val="0"/>
      <w:autoSpaceDN w:val="0"/>
      <w:ind w:left="111" w:firstLine="64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31</Pages>
  <Words>1133</Words>
  <Characters>6459</Characters>
  <Application>Microsoft Office Word</Application>
  <DocSecurity>0</DocSecurity>
  <Lines>53</Lines>
  <Paragraphs>15</Paragraphs>
  <ScaleCrop>false</ScaleCrop>
  <Company>MS User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深度技术</cp:lastModifiedBy>
  <cp:revision>52</cp:revision>
  <cp:lastPrinted>2021-11-05T01:46:00Z</cp:lastPrinted>
  <dcterms:created xsi:type="dcterms:W3CDTF">2021-11-04T01:17:00Z</dcterms:created>
  <dcterms:modified xsi:type="dcterms:W3CDTF">2021-11-05T01:59:00Z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46F754DFA5CB4D01A18B1FEA7D8B1D6D</vt:lpwstr>
  </property>
</Properties>
</file>