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png" Extension="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b/>
          <w:sz w:val="20"/>
        </w:rPr>
      </w:pPr>
    </w:p>
    <w:p>
      <w:pPr>
        <w:spacing w:before="182"/>
        <w:ind w:right="117"/>
        <w:jc w:val="center"/>
        <w:rPr>
          <w:rFonts w:hint="eastAsia" w:ascii="宋体" w:eastAsia="宋体"/>
          <w:b/>
          <w:sz w:val="52"/>
        </w:rPr>
      </w:pPr>
      <w:r>
        <w:rPr>
          <w:b/>
          <w:sz w:val="52"/>
        </w:rPr>
        <w:t xml:space="preserve">2020 </w:t>
      </w:r>
      <w:r>
        <w:rPr>
          <w:rFonts w:hint="eastAsia" w:ascii="宋体" w:eastAsia="宋体"/>
          <w:b/>
          <w:sz w:val="52"/>
        </w:rPr>
        <w:t>年度</w:t>
      </w:r>
    </w:p>
    <w:p>
      <w:pPr>
        <w:spacing w:before="299"/>
        <w:ind w:right="117"/>
        <w:jc w:val="center"/>
        <w:rPr>
          <w:rFonts w:hint="eastAsia" w:ascii="宋体" w:eastAsia="宋体"/>
          <w:b/>
          <w:sz w:val="52"/>
        </w:rPr>
      </w:pPr>
      <w:r>
        <w:rPr>
          <w:rFonts w:hint="eastAsia" w:ascii="宋体" w:eastAsia="宋体"/>
          <w:b/>
          <w:sz w:val="52"/>
        </w:rPr>
        <w:t>洛阳市西工区住房和城乡建设局</w:t>
      </w:r>
      <w:r>
        <w:rPr>
          <w:rFonts w:hint="eastAsia" w:ascii="宋体" w:eastAsia="宋体"/>
          <w:b/>
          <w:color w:val="C00000"/>
          <w:sz w:val="52"/>
        </w:rPr>
        <w:t xml:space="preserve">     </w:t>
      </w:r>
      <w:r>
        <w:rPr>
          <w:rFonts w:hint="eastAsia" w:ascii="宋体" w:eastAsia="宋体"/>
          <w:b/>
          <w:sz w:val="52"/>
        </w:rPr>
        <w:t>部门决算</w:t>
      </w:r>
    </w:p>
    <w:p>
      <w:pPr>
        <w:pStyle w:val="3"/>
        <w:rPr>
          <w:rFonts w:ascii="宋体"/>
          <w:sz w:val="52"/>
        </w:rPr>
      </w:pPr>
    </w:p>
    <w:p>
      <w:pPr>
        <w:pStyle w:val="3"/>
        <w:rPr>
          <w:rFonts w:ascii="宋体"/>
          <w:sz w:val="52"/>
        </w:rPr>
      </w:pPr>
    </w:p>
    <w:p>
      <w:pPr>
        <w:pStyle w:val="3"/>
        <w:rPr>
          <w:rFonts w:ascii="宋体"/>
          <w:sz w:val="52"/>
        </w:rPr>
      </w:pPr>
    </w:p>
    <w:p>
      <w:pPr>
        <w:pStyle w:val="3"/>
        <w:rPr>
          <w:rFonts w:ascii="宋体"/>
          <w:sz w:val="52"/>
        </w:rPr>
      </w:pPr>
    </w:p>
    <w:p>
      <w:pPr>
        <w:pStyle w:val="3"/>
        <w:rPr>
          <w:rFonts w:ascii="宋体"/>
          <w:sz w:val="52"/>
        </w:rPr>
      </w:pPr>
    </w:p>
    <w:p>
      <w:pPr>
        <w:pStyle w:val="3"/>
        <w:rPr>
          <w:rFonts w:ascii="宋体"/>
          <w:sz w:val="52"/>
        </w:rPr>
      </w:pPr>
    </w:p>
    <w:p>
      <w:pPr>
        <w:pStyle w:val="3"/>
        <w:rPr>
          <w:rFonts w:ascii="宋体"/>
          <w:sz w:val="52"/>
        </w:rPr>
      </w:pPr>
    </w:p>
    <w:p>
      <w:pPr>
        <w:pStyle w:val="3"/>
        <w:rPr>
          <w:rFonts w:ascii="宋体"/>
          <w:sz w:val="52"/>
        </w:rPr>
      </w:pPr>
    </w:p>
    <w:p>
      <w:pPr>
        <w:pStyle w:val="3"/>
        <w:rPr>
          <w:rFonts w:ascii="宋体"/>
          <w:sz w:val="52"/>
        </w:rPr>
      </w:pPr>
    </w:p>
    <w:p>
      <w:pPr>
        <w:pStyle w:val="3"/>
        <w:rPr>
          <w:rFonts w:ascii="宋体"/>
          <w:sz w:val="52"/>
        </w:rPr>
      </w:pPr>
    </w:p>
    <w:p>
      <w:pPr>
        <w:pStyle w:val="3"/>
        <w:rPr>
          <w:rFonts w:ascii="宋体"/>
          <w:sz w:val="52"/>
        </w:rPr>
      </w:pPr>
    </w:p>
    <w:p>
      <w:pPr>
        <w:pStyle w:val="3"/>
        <w:spacing w:before="7"/>
        <w:rPr>
          <w:rFonts w:ascii="宋体"/>
          <w:sz w:val="54"/>
        </w:rPr>
      </w:pPr>
    </w:p>
    <w:p>
      <w:pPr>
        <w:pStyle w:val="3"/>
        <w:ind w:right="117"/>
        <w:jc w:val="center"/>
        <w:rPr>
          <w:rFonts w:hint="eastAsia" w:ascii="黑体" w:eastAsia="黑体"/>
          <w:b/>
        </w:rPr>
      </w:pPr>
      <w:r>
        <w:rPr>
          <w:rFonts w:hint="eastAsia" w:ascii="黑体" w:eastAsia="黑体"/>
          <w:b/>
        </w:rPr>
        <w:t>二〇二一年十月</w:t>
      </w:r>
    </w:p>
    <w:p>
      <w:pPr>
        <w:jc w:val="center"/>
        <w:sectPr>
          <w:type w:val="continuous"/>
          <w:pgSz w:w="11910" w:h="16840"/>
          <w:pgMar w:top="1701" w:right="1134" w:bottom="1701" w:left="1134" w:header="720" w:footer="720" w:gutter="0"/>
          <w:paperSrc w:first="0" w:other="0"/>
          <w:cols w:space="720" w:num="1"/>
          <w:docGrid/>
        </w:sect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1"/>
        </w:rPr>
      </w:pPr>
    </w:p>
    <w:p>
      <w:pPr>
        <w:pStyle w:val="2"/>
        <w:tabs>
          <w:tab w:val="left" w:pos="880"/>
        </w:tabs>
        <w:ind w:right="120"/>
        <w:rPr>
          <w:b/>
        </w:rPr>
      </w:pPr>
      <w:r>
        <w:rPr>
          <w:b/>
        </w:rPr>
        <w:t>目</w:t>
      </w:r>
      <w:r>
        <w:rPr>
          <w:b/>
        </w:rPr>
        <w:tab/>
      </w:r>
      <w:r>
        <w:rPr>
          <w:b/>
        </w:rPr>
        <w:t>录</w:t>
      </w:r>
    </w:p>
    <w:p>
      <w:pPr>
        <w:pStyle w:val="3"/>
        <w:rPr>
          <w:rFonts w:ascii="宋体"/>
          <w:sz w:val="44"/>
        </w:rPr>
      </w:pPr>
    </w:p>
    <w:p>
      <w:pPr>
        <w:pStyle w:val="3"/>
        <w:spacing w:before="5"/>
        <w:rPr>
          <w:rFonts w:ascii="宋体"/>
          <w:sz w:val="33"/>
        </w:rPr>
      </w:pPr>
    </w:p>
    <w:p>
      <w:pPr>
        <w:pStyle w:val="3"/>
        <w:tabs>
          <w:tab w:val="left" w:pos="1711"/>
        </w:tabs>
        <w:ind w:left="111"/>
        <w:rPr>
          <w:rFonts w:hint="eastAsia" w:ascii="黑体" w:eastAsia="黑体"/>
        </w:rPr>
      </w:pPr>
      <w:r>
        <w:rPr>
          <w:rFonts w:hint="eastAsia" w:ascii="黑体" w:eastAsia="黑体"/>
        </w:rPr>
        <w:t>第一部分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洛阳市西工区住建局概况</w:t>
      </w:r>
    </w:p>
    <w:p>
      <w:pPr>
        <w:pStyle w:val="3"/>
        <w:spacing w:before="233" w:line="376" w:lineRule="auto"/>
        <w:ind w:left="111" w:right="7153"/>
        <w:rPr>
          <w:rFonts w:hint="eastAsia" w:ascii="楷体" w:eastAsia="楷体"/>
        </w:rPr>
      </w:pPr>
      <w:r>
        <w:rPr>
          <w:rFonts w:hint="eastAsia" w:ascii="楷体" w:eastAsia="楷体"/>
        </w:rPr>
        <w:t>一、部门职责二、机构设置</w:t>
      </w:r>
    </w:p>
    <w:p>
      <w:pPr>
        <w:pStyle w:val="3"/>
        <w:tabs>
          <w:tab w:val="left" w:pos="1711"/>
        </w:tabs>
        <w:spacing w:before="2"/>
        <w:ind w:left="111"/>
        <w:rPr>
          <w:rFonts w:hint="eastAsia" w:ascii="黑体" w:eastAsia="黑体"/>
        </w:rPr>
      </w:pPr>
      <w:r>
        <w:rPr>
          <w:rFonts w:hint="eastAsia" w:ascii="黑体" w:eastAsia="黑体"/>
        </w:rPr>
        <w:t>第二部分</w:t>
      </w:r>
      <w:r>
        <w:rPr>
          <w:rFonts w:hint="eastAsia" w:ascii="黑体" w:eastAsia="黑体"/>
        </w:rPr>
        <w:tab/>
      </w:r>
      <w:r>
        <w:rPr>
          <w:rFonts w:ascii="Times New Roman" w:eastAsia="Times New Roman"/>
        </w:rPr>
        <w:t>2020</w:t>
      </w:r>
      <w:r>
        <w:rPr>
          <w:rFonts w:ascii="Times New Roman" w:eastAsia="Times New Roman"/>
          <w:spacing w:val="-1"/>
        </w:rPr>
        <w:t xml:space="preserve"> </w:t>
      </w:r>
      <w:r>
        <w:rPr>
          <w:rFonts w:hint="eastAsia" w:ascii="黑体" w:eastAsia="黑体"/>
        </w:rPr>
        <w:t>年度部门决算表</w:t>
      </w:r>
    </w:p>
    <w:p>
      <w:pPr>
        <w:pStyle w:val="3"/>
        <w:spacing w:before="233" w:line="376" w:lineRule="auto"/>
        <w:ind w:left="111" w:right="5873"/>
        <w:rPr>
          <w:rFonts w:hint="eastAsia" w:ascii="楷体" w:eastAsia="楷体"/>
        </w:rPr>
      </w:pPr>
      <w:r>
        <w:rPr>
          <w:rFonts w:hint="eastAsia" w:ascii="楷体" w:eastAsia="楷体"/>
          <w:spacing w:val="-2"/>
        </w:rPr>
        <w:t>一、收入支出决算总表</w:t>
      </w:r>
      <w:r>
        <w:rPr>
          <w:rFonts w:hint="eastAsia" w:ascii="楷体" w:eastAsia="楷体"/>
        </w:rPr>
        <w:t>二、收入决算表</w:t>
      </w:r>
    </w:p>
    <w:p>
      <w:pPr>
        <w:pStyle w:val="3"/>
        <w:spacing w:before="1"/>
        <w:ind w:left="111"/>
        <w:rPr>
          <w:rFonts w:hint="eastAsia" w:ascii="楷体" w:eastAsia="楷体"/>
        </w:rPr>
      </w:pPr>
      <w:r>
        <w:rPr>
          <w:rFonts w:hint="eastAsia" w:ascii="楷体" w:eastAsia="楷体"/>
          <w:w w:val="95"/>
        </w:rPr>
        <w:t>三、支出决算表</w:t>
      </w:r>
    </w:p>
    <w:p>
      <w:pPr>
        <w:pStyle w:val="3"/>
        <w:spacing w:before="233"/>
        <w:ind w:left="111"/>
        <w:rPr>
          <w:rFonts w:hint="eastAsia" w:ascii="楷体" w:eastAsia="楷体"/>
        </w:rPr>
      </w:pPr>
      <w:r>
        <w:rPr>
          <w:rFonts w:hint="eastAsia" w:ascii="楷体" w:eastAsia="楷体"/>
        </w:rPr>
        <w:t>四、财政拨款收入支出决算总表</w:t>
      </w:r>
    </w:p>
    <w:p>
      <w:pPr>
        <w:pStyle w:val="3"/>
        <w:spacing w:before="234"/>
        <w:ind w:left="111"/>
        <w:rPr>
          <w:rFonts w:hint="eastAsia" w:ascii="楷体" w:eastAsia="楷体"/>
        </w:rPr>
      </w:pPr>
      <w:r>
        <w:rPr>
          <w:rFonts w:hint="eastAsia" w:ascii="楷体" w:eastAsia="楷体"/>
        </w:rPr>
        <w:t>五、一般公共预算财政拨款支出决算表</w:t>
      </w:r>
    </w:p>
    <w:p>
      <w:pPr>
        <w:pStyle w:val="3"/>
        <w:spacing w:before="235"/>
        <w:ind w:left="111"/>
        <w:rPr>
          <w:rFonts w:hint="eastAsia" w:ascii="楷体" w:eastAsia="楷体"/>
        </w:rPr>
      </w:pPr>
      <w:r>
        <w:rPr>
          <w:rFonts w:hint="eastAsia" w:ascii="楷体" w:eastAsia="楷体"/>
        </w:rPr>
        <w:t>六、一般公共预算财政拨款基本支出决算表</w:t>
      </w:r>
    </w:p>
    <w:p>
      <w:pPr>
        <w:pStyle w:val="3"/>
        <w:spacing w:before="233" w:line="376" w:lineRule="auto"/>
        <w:ind w:left="111" w:right="2069"/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七、一般公共预算财政拨款</w:t>
      </w:r>
      <w:r>
        <w:rPr>
          <w:rFonts w:ascii="Times New Roman" w:hAnsi="Times New Roman" w:eastAsia="Times New Roman"/>
        </w:rPr>
        <w:t>“</w:t>
      </w:r>
      <w:r>
        <w:rPr>
          <w:rFonts w:hint="eastAsia" w:ascii="楷体" w:hAnsi="楷体" w:eastAsia="楷体"/>
        </w:rPr>
        <w:t>三公</w:t>
      </w:r>
      <w:r>
        <w:rPr>
          <w:rFonts w:ascii="Times New Roman" w:hAnsi="Times New Roman" w:eastAsia="Times New Roman"/>
        </w:rPr>
        <w:t>”</w:t>
      </w:r>
      <w:r>
        <w:rPr>
          <w:rFonts w:hint="eastAsia" w:ascii="楷体" w:hAnsi="楷体" w:eastAsia="楷体"/>
        </w:rPr>
        <w:t>经费支出决算表八、政府性基金预算财政拨款收入支出决算表</w:t>
      </w:r>
    </w:p>
    <w:p>
      <w:pPr>
        <w:pStyle w:val="3"/>
        <w:tabs>
          <w:tab w:val="left" w:pos="1711"/>
        </w:tabs>
        <w:spacing w:before="2"/>
        <w:ind w:left="111"/>
        <w:rPr>
          <w:rFonts w:hint="eastAsia" w:ascii="黑体" w:eastAsia="黑体"/>
        </w:rPr>
      </w:pPr>
      <w:r>
        <w:rPr>
          <w:rFonts w:hint="eastAsia" w:ascii="黑体" w:eastAsia="黑体"/>
        </w:rPr>
        <w:t>第三部分</w:t>
      </w:r>
      <w:r>
        <w:rPr>
          <w:rFonts w:hint="eastAsia" w:ascii="黑体" w:eastAsia="黑体"/>
        </w:rPr>
        <w:tab/>
      </w:r>
      <w:r>
        <w:rPr>
          <w:rFonts w:ascii="Times New Roman" w:eastAsia="Times New Roman"/>
        </w:rPr>
        <w:t>2020</w:t>
      </w:r>
      <w:r>
        <w:rPr>
          <w:rFonts w:ascii="Times New Roman" w:eastAsia="Times New Roman"/>
          <w:spacing w:val="-1"/>
        </w:rPr>
        <w:t xml:space="preserve"> </w:t>
      </w:r>
      <w:r>
        <w:rPr>
          <w:rFonts w:hint="eastAsia" w:ascii="黑体" w:eastAsia="黑体"/>
        </w:rPr>
        <w:t>年度部门决算情况说明</w:t>
      </w:r>
    </w:p>
    <w:p>
      <w:pPr>
        <w:pStyle w:val="3"/>
        <w:spacing w:before="233" w:line="376" w:lineRule="auto"/>
        <w:ind w:left="111" w:right="4594"/>
        <w:rPr>
          <w:rFonts w:hint="eastAsia" w:ascii="楷体" w:eastAsia="楷体"/>
        </w:rPr>
      </w:pPr>
      <w:r>
        <w:rPr>
          <w:rFonts w:hint="eastAsia" w:ascii="楷体" w:eastAsia="楷体"/>
          <w:spacing w:val="-1"/>
        </w:rPr>
        <w:t>一、收入支出决算总体情况说明</w:t>
      </w:r>
      <w:r>
        <w:rPr>
          <w:rFonts w:hint="eastAsia" w:ascii="楷体" w:eastAsia="楷体"/>
        </w:rPr>
        <w:t>二、收入决算情况说明</w:t>
      </w:r>
    </w:p>
    <w:p>
      <w:pPr>
        <w:pStyle w:val="3"/>
        <w:spacing w:before="1"/>
        <w:ind w:left="111"/>
        <w:rPr>
          <w:rFonts w:hint="eastAsia" w:ascii="楷体" w:eastAsia="楷体"/>
        </w:rPr>
      </w:pPr>
      <w:r>
        <w:rPr>
          <w:rFonts w:hint="eastAsia" w:ascii="楷体" w:eastAsia="楷体"/>
          <w:w w:val="95"/>
        </w:rPr>
        <w:t>三、支出决算情况说明</w:t>
      </w:r>
    </w:p>
    <w:p>
      <w:pPr>
        <w:pStyle w:val="3"/>
        <w:spacing w:before="234"/>
        <w:ind w:left="111"/>
        <w:rPr>
          <w:rFonts w:hint="eastAsia" w:ascii="楷体" w:eastAsia="楷体"/>
        </w:rPr>
      </w:pPr>
      <w:r>
        <w:rPr>
          <w:rFonts w:hint="eastAsia" w:ascii="楷体" w:eastAsia="楷体"/>
        </w:rPr>
        <w:t>四、财政拨款收入支出决算总体情况说明</w:t>
      </w:r>
    </w:p>
    <w:p>
      <w:pPr>
        <w:sectPr>
          <w:pgSz w:w="11910" w:h="16840"/>
          <w:pgMar w:top="1701" w:right="1134" w:bottom="1701" w:left="1134" w:header="720" w:footer="720" w:gutter="0"/>
          <w:paperSrc w:first="0" w:other="0"/>
          <w:cols w:space="720" w:num="1"/>
          <w:docGrid/>
        </w:sectPr>
      </w:pPr>
    </w:p>
    <w:p>
      <w:pPr>
        <w:pStyle w:val="3"/>
        <w:rPr>
          <w:rFonts w:ascii="楷体"/>
          <w:sz w:val="20"/>
        </w:rPr>
      </w:pPr>
    </w:p>
    <w:p>
      <w:pPr>
        <w:pStyle w:val="3"/>
        <w:spacing w:before="2"/>
        <w:rPr>
          <w:rFonts w:ascii="楷体"/>
          <w:sz w:val="15"/>
        </w:rPr>
      </w:pPr>
    </w:p>
    <w:p>
      <w:pPr>
        <w:pStyle w:val="3"/>
        <w:spacing w:before="54"/>
        <w:ind w:left="111"/>
        <w:rPr>
          <w:rFonts w:hint="eastAsia" w:ascii="楷体" w:eastAsia="楷体"/>
        </w:rPr>
      </w:pPr>
      <w:r>
        <w:rPr>
          <w:rFonts w:hint="eastAsia" w:ascii="楷体" w:eastAsia="楷体"/>
        </w:rPr>
        <w:t>五、一般公共预算财政拨款支出决算情况说明</w:t>
      </w:r>
    </w:p>
    <w:p>
      <w:pPr>
        <w:pStyle w:val="3"/>
        <w:spacing w:before="233"/>
        <w:ind w:left="111"/>
        <w:rPr>
          <w:rFonts w:hint="eastAsia" w:ascii="楷体" w:eastAsia="楷体"/>
        </w:rPr>
      </w:pPr>
      <w:r>
        <w:rPr>
          <w:rFonts w:hint="eastAsia" w:ascii="楷体" w:eastAsia="楷体"/>
        </w:rPr>
        <w:t>六、一般公共预算财政拨款基本支出决算情况说明</w:t>
      </w:r>
    </w:p>
    <w:p>
      <w:pPr>
        <w:pStyle w:val="3"/>
        <w:spacing w:before="233" w:line="376" w:lineRule="auto"/>
        <w:ind w:left="111" w:right="1109"/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七、一般公共预算财政拨款</w:t>
      </w:r>
      <w:r>
        <w:rPr>
          <w:rFonts w:ascii="Times New Roman" w:hAnsi="Times New Roman" w:eastAsia="Times New Roman"/>
        </w:rPr>
        <w:t>“</w:t>
      </w:r>
      <w:r>
        <w:rPr>
          <w:rFonts w:hint="eastAsia" w:ascii="楷体" w:hAnsi="楷体" w:eastAsia="楷体"/>
        </w:rPr>
        <w:t>三公</w:t>
      </w:r>
      <w:r>
        <w:rPr>
          <w:rFonts w:ascii="Times New Roman" w:hAnsi="Times New Roman" w:eastAsia="Times New Roman"/>
        </w:rPr>
        <w:t>”</w:t>
      </w:r>
      <w:r>
        <w:rPr>
          <w:rFonts w:hint="eastAsia" w:ascii="楷体" w:hAnsi="楷体" w:eastAsia="楷体"/>
        </w:rPr>
        <w:t>经费支出决算情况说明八、预算绩效情况说明</w:t>
      </w:r>
    </w:p>
    <w:p>
      <w:pPr>
        <w:pStyle w:val="3"/>
        <w:spacing w:before="2" w:line="376" w:lineRule="auto"/>
        <w:ind w:left="111" w:right="2353"/>
        <w:rPr>
          <w:rFonts w:hint="eastAsia" w:ascii="楷体" w:eastAsia="楷体"/>
        </w:rPr>
      </w:pPr>
      <w:r>
        <w:rPr>
          <w:rFonts w:hint="eastAsia" w:ascii="楷体" w:eastAsia="楷体"/>
        </w:rPr>
        <w:t>九、政府性基金预算财政拨款支出决算情况说明十、机关运行经费支出情况说明</w:t>
      </w:r>
    </w:p>
    <w:p>
      <w:pPr>
        <w:pStyle w:val="3"/>
        <w:spacing w:before="1" w:line="376" w:lineRule="auto"/>
        <w:ind w:left="111" w:right="4913"/>
        <w:jc w:val="both"/>
        <w:rPr>
          <w:rFonts w:hint="eastAsia" w:ascii="黑体" w:eastAsia="黑体"/>
        </w:rPr>
      </w:pPr>
      <w:r>
        <w:rPr>
          <w:rFonts w:hint="eastAsia" w:ascii="楷体" w:eastAsia="楷体"/>
        </w:rPr>
        <w:t>十一、政府采购支出情况说明十二、国有资产占用情况说明</w:t>
      </w:r>
      <w:r>
        <w:rPr>
          <w:rFonts w:hint="eastAsia" w:ascii="黑体" w:eastAsia="黑体"/>
        </w:rPr>
        <w:t>第四部分 名词解释</w:t>
      </w:r>
    </w:p>
    <w:p>
      <w:pPr>
        <w:spacing w:line="376" w:lineRule="auto"/>
        <w:jc w:val="both"/>
        <w:sectPr>
          <w:pgSz w:w="11910" w:h="16840"/>
          <w:pgMar w:top="1701" w:right="1134" w:bottom="1701" w:left="1134" w:header="720" w:footer="720" w:gutter="0"/>
          <w:paperSrc w:first="0" w:other="0"/>
          <w:cols w:space="720" w:num="1"/>
          <w:docGrid/>
        </w:sect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spacing w:before="2"/>
        <w:rPr>
          <w:rFonts w:ascii="黑体"/>
          <w:sz w:val="23"/>
        </w:rPr>
      </w:pPr>
    </w:p>
    <w:p>
      <w:pPr>
        <w:pStyle w:val="2"/>
        <w:tabs>
          <w:tab w:val="left" w:pos="3653"/>
        </w:tabs>
        <w:ind w:left="1013"/>
        <w:jc w:val="left"/>
        <w:rPr>
          <w:b/>
        </w:rPr>
      </w:pPr>
      <w:r>
        <w:rPr>
          <w:b/>
        </w:rPr>
        <w:t>第一部分</w:t>
      </w:r>
      <w:r>
        <w:rPr>
          <w:b/>
        </w:rPr>
        <w:tab/>
      </w:r>
      <w:r>
        <w:rPr>
          <w:rFonts w:hint="eastAsia"/>
          <w:b/>
        </w:rPr>
        <w:t>洛阳市西工区住建局</w:t>
      </w:r>
      <w:r>
        <w:rPr>
          <w:b/>
        </w:rPr>
        <w:t>概况</w:t>
      </w:r>
    </w:p>
    <w:p>
      <w:pPr>
        <w:sectPr>
          <w:pgSz w:w="11910" w:h="16840"/>
          <w:pgMar w:top="1701" w:right="1134" w:bottom="1701" w:left="1134" w:header="720" w:footer="720" w:gutter="0"/>
          <w:paperSrc w:first="0" w:other="0"/>
          <w:cols w:space="720" w:num="1"/>
          <w:docGrid/>
        </w:sectPr>
      </w:pPr>
    </w:p>
    <w:p>
      <w:pPr>
        <w:pStyle w:val="3"/>
        <w:spacing w:before="55" w:line="600" w:lineRule="exact"/>
        <w:ind w:left="751"/>
        <w:rPr>
          <w:rFonts w:hint="eastAsia" w:ascii="黑体" w:eastAsia="黑体"/>
        </w:rPr>
      </w:pPr>
      <w:r>
        <w:rPr>
          <w:rFonts w:hint="eastAsia" w:ascii="黑体" w:eastAsia="黑体"/>
        </w:rPr>
        <w:t>一、部门职责</w:t>
      </w:r>
    </w:p>
    <w:p>
      <w:pPr>
        <w:spacing w:line="60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（一）贯彻执行国家有关城乡建设管理的方针、政策，贯彻实施和宣传解释国家、省、市有关城市道路建设征地拆迁管理的法律、法规、规章和政策。</w:t>
      </w:r>
    </w:p>
    <w:p>
      <w:pPr>
        <w:spacing w:line="60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（二）按照洛阳市城市建设总体规划，协助制定区域性建设规划，并负责督促落实；负责辖区区属道路改造、建设工作。</w:t>
      </w:r>
    </w:p>
    <w:p>
      <w:pPr>
        <w:spacing w:line="60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（三）配合市级部门完成辖区内市属道路及其他市政基础设施改造、建设工程；协调、组织、参与辖区基础设施拆迁及区委、区政府交办的重点项目拆迁。</w:t>
      </w:r>
    </w:p>
    <w:p>
      <w:pPr>
        <w:spacing w:line="60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（四）负责区管市政道路建设工程的设计及招投标方案的制订，并监督执行。</w:t>
      </w:r>
    </w:p>
    <w:p>
      <w:pPr>
        <w:spacing w:line="60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（五）做好已取消和下放行政审批事项的服务和监管工作。贯彻执行国家、省、市人民防空法律、法规和方针政策；对人民群众进行防空常识和《人民防空法》等法规的宣传教育；组织本辖区人民防空工程建设、维护和管理；负责征收区属各类企业、事业单位和个体工商户社会负担的人防建设费。负责征收本辖区内2000平方米（含）以下的建设单位防空地下室易地建设费。组织指挥人民群众进行防空袭斗争，消除空袭后果和配合要地防空和城市防卫作战；协助有关部门恢复正常的生产和生活秩序。做好已取消和下放行政审批事项的服务和监管工作。负责本部门及所属事业单位网上名称管理工作。</w:t>
      </w:r>
    </w:p>
    <w:p>
      <w:pPr>
        <w:spacing w:line="600" w:lineRule="exact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（六）编制西工区农村公路发展建设规划；编制年度农村公路建设项目，并立项、申报、组织设计，办理施工许可安全许可，组织招投标，工程实施和工程质量监管以及验收。编制年度农村公路大中修养护工程项目。并组织立项、上报审批、组织实施和工程质量的监管；编制年度农村公路日常小修维护保养计划，并负责组织实施；认真开展公路“创建”、“达标”和“好路杯”竞赛等活动；完成年度西工区政府同洛阳市政府签订的《洛阳市农村公路建设管理目标责任书》的所有内容。</w:t>
      </w:r>
    </w:p>
    <w:p>
      <w:pPr>
        <w:spacing w:line="600" w:lineRule="exact"/>
        <w:ind w:firstLine="640" w:firstLineChars="200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/>
          <w:sz w:val="32"/>
          <w:szCs w:val="32"/>
        </w:rPr>
        <w:t>（七）</w:t>
      </w:r>
      <w:r>
        <w:rPr>
          <w:rFonts w:hint="eastAsia" w:ascii="宋体" w:hAnsi="宋体"/>
          <w:color w:val="000000"/>
          <w:sz w:val="32"/>
          <w:szCs w:val="32"/>
        </w:rPr>
        <w:t>负责公共租赁住房建设、分配管理。负责廉租房、公共租赁住房保障保障准入资格认定，廉租房租赁补贴发放。落实省市下达的经济适用住房建设计划，经济适用住房项目组织实施。负责经济适用住房项目认购公告发布工作，组织报名、资格初审、复审、公示、认定、购房合同备案以及购房档案建立。负责房地产中介市场的日常巡查和监管。</w:t>
      </w:r>
    </w:p>
    <w:p>
      <w:pPr>
        <w:spacing w:line="60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（八）做好已取消和下放行政审批事项的服务和监管工作。</w:t>
      </w:r>
    </w:p>
    <w:p>
      <w:pPr>
        <w:spacing w:line="60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（九）负责本部门、本系统信访稳定工作。</w:t>
      </w:r>
    </w:p>
    <w:p>
      <w:pPr>
        <w:spacing w:line="600" w:lineRule="exact"/>
        <w:ind w:left="669" w:leftChars="304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（十）负责本部门及所属事业单位登记、网上名称管理工作。（十一）负责本部门、本系统突发公共事件的应急管理工作，</w:t>
      </w:r>
    </w:p>
    <w:p>
      <w:pPr>
        <w:spacing w:line="600" w:lineRule="exact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贯彻落实突发公共事件应急预案，预防和处置本部门、本系统的突发事件。负责本系统、本行业安全生产监管工作，贯彻落实安全生产责任制，预防和处理本系统、本行业内安全生产事故。</w:t>
      </w:r>
    </w:p>
    <w:p>
      <w:pPr>
        <w:spacing w:line="600" w:lineRule="exact"/>
        <w:ind w:left="669" w:leftChars="304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（十二）完成区委、区政府交办的其他事项。</w:t>
      </w:r>
    </w:p>
    <w:p>
      <w:pPr>
        <w:pStyle w:val="11"/>
        <w:spacing w:line="600" w:lineRule="exact"/>
        <w:ind w:firstLine="640"/>
        <w:rPr>
          <w:rFonts w:ascii="宋体" w:hAnsi="宋体" w:cs="Times New Roman"/>
          <w:kern w:val="2"/>
          <w:sz w:val="32"/>
          <w:szCs w:val="32"/>
        </w:rPr>
      </w:pPr>
      <w:r>
        <w:rPr>
          <w:rFonts w:ascii="宋体" w:hAnsi="宋体" w:cs="Times New Roman"/>
          <w:kern w:val="2"/>
          <w:sz w:val="32"/>
          <w:szCs w:val="32"/>
        </w:rPr>
        <w:t>（</w:t>
      </w:r>
      <w:r>
        <w:rPr>
          <w:rFonts w:hint="eastAsia" w:ascii="宋体" w:hAnsi="宋体" w:cs="Times New Roman"/>
          <w:kern w:val="2"/>
          <w:sz w:val="32"/>
          <w:szCs w:val="32"/>
        </w:rPr>
        <w:t>十三</w:t>
      </w:r>
      <w:r>
        <w:rPr>
          <w:rFonts w:ascii="宋体" w:hAnsi="宋体" w:cs="Times New Roman"/>
          <w:kern w:val="2"/>
          <w:sz w:val="32"/>
          <w:szCs w:val="32"/>
        </w:rPr>
        <w:t>）有关职责分工</w:t>
      </w:r>
    </w:p>
    <w:p>
      <w:pPr>
        <w:spacing w:line="600" w:lineRule="exact"/>
        <w:jc w:val="both"/>
        <w:sectPr>
          <w:pgSz w:w="11910" w:h="16840"/>
          <w:pgMar w:top="1701" w:right="1134" w:bottom="1701" w:left="1134" w:header="720" w:footer="720" w:gutter="0"/>
          <w:paperSrc w:first="0" w:other="0"/>
          <w:cols w:space="720" w:num="1"/>
          <w:docGrid/>
        </w:sectPr>
      </w:pPr>
    </w:p>
    <w:p>
      <w:pPr>
        <w:pStyle w:val="3"/>
        <w:spacing w:before="166" w:line="600" w:lineRule="exact"/>
        <w:ind w:left="751"/>
        <w:rPr>
          <w:rFonts w:ascii="黑体"/>
          <w:sz w:val="20"/>
        </w:rPr>
      </w:pPr>
      <w:r>
        <w:rPr>
          <w:rFonts w:hint="eastAsia" w:ascii="黑体" w:eastAsia="黑体"/>
        </w:rPr>
        <w:t>二、机构设置</w:t>
      </w:r>
    </w:p>
    <w:p>
      <w:pPr>
        <w:pStyle w:val="3"/>
        <w:spacing w:before="5" w:line="600" w:lineRule="exact"/>
        <w:rPr>
          <w:rFonts w:ascii="黑体"/>
          <w:sz w:val="16"/>
        </w:rPr>
      </w:pPr>
    </w:p>
    <w:p>
      <w:pPr>
        <w:pStyle w:val="3"/>
        <w:spacing w:before="64" w:line="600" w:lineRule="exact"/>
        <w:ind w:firstLine="640" w:firstLineChars="200"/>
        <w:rPr>
          <w:rFonts w:hint="eastAsia" w:ascii="宋体" w:eastAsia="宋体"/>
        </w:rPr>
      </w:pPr>
      <w:r>
        <w:rPr>
          <w:rFonts w:hint="eastAsia" w:ascii="宋体" w:eastAsia="宋体"/>
        </w:rPr>
        <w:t xml:space="preserve">洛阳市西工区住建局内设机构 </w:t>
      </w:r>
      <w:r>
        <w:rPr>
          <w:rFonts w:hint="eastAsia" w:ascii="Times New Roman" w:eastAsia="宋体"/>
        </w:rPr>
        <w:t>四</w:t>
      </w:r>
      <w:r>
        <w:rPr>
          <w:rFonts w:hint="eastAsia" w:ascii="宋体" w:eastAsia="宋体"/>
        </w:rPr>
        <w:t>个，包括：办公室、</w:t>
      </w:r>
      <w:r>
        <w:rPr>
          <w:rFonts w:ascii="宋体" w:hAnsi="宋体"/>
        </w:rPr>
        <w:t>城乡建设管理股</w:t>
      </w:r>
      <w:r>
        <w:rPr>
          <w:rFonts w:hint="eastAsia" w:ascii="宋体" w:eastAsia="宋体"/>
          <w:spacing w:val="-15"/>
        </w:rPr>
        <w:t>、人防管理股、房产管理股。</w:t>
      </w:r>
    </w:p>
    <w:p>
      <w:pPr>
        <w:pStyle w:val="3"/>
        <w:spacing w:before="17" w:line="600" w:lineRule="exact"/>
        <w:ind w:left="111" w:right="231" w:firstLine="640"/>
        <w:rPr>
          <w:rFonts w:hint="eastAsia" w:ascii="宋体" w:eastAsia="宋体"/>
        </w:rPr>
      </w:pPr>
      <w:r>
        <w:rPr>
          <w:rFonts w:hint="eastAsia" w:ascii="宋体" w:eastAsia="宋体"/>
          <w:spacing w:val="-10"/>
          <w:w w:val="95"/>
        </w:rPr>
        <w:t>从决算单位构成看，</w:t>
      </w:r>
      <w:r>
        <w:rPr>
          <w:rFonts w:hint="eastAsia" w:ascii="宋体" w:eastAsia="宋体"/>
        </w:rPr>
        <w:t>洛阳市西工区住建局</w:t>
      </w:r>
      <w:r>
        <w:rPr>
          <w:rFonts w:hint="eastAsia" w:ascii="宋体" w:eastAsia="宋体"/>
          <w:spacing w:val="-10"/>
          <w:w w:val="95"/>
        </w:rPr>
        <w:t xml:space="preserve">部门决算包括：本级 </w:t>
      </w:r>
      <w:r>
        <w:rPr>
          <w:rFonts w:hint="eastAsia" w:ascii="宋体" w:eastAsia="宋体"/>
          <w:spacing w:val="-10"/>
        </w:rPr>
        <w:t>决算、所属单位决算。</w:t>
      </w:r>
    </w:p>
    <w:p>
      <w:pPr>
        <w:pStyle w:val="3"/>
        <w:spacing w:before="3" w:line="600" w:lineRule="exact"/>
        <w:ind w:left="751"/>
        <w:rPr>
          <w:rFonts w:hint="eastAsia" w:ascii="宋体" w:eastAsia="宋体"/>
        </w:rPr>
      </w:pPr>
      <w:r>
        <w:rPr>
          <w:rFonts w:hint="eastAsia" w:ascii="宋体" w:eastAsia="宋体"/>
        </w:rPr>
        <w:t xml:space="preserve">本决算为汇总决算，纳入本部门 </w:t>
      </w:r>
      <w:r>
        <w:rPr>
          <w:rFonts w:ascii="Times New Roman" w:eastAsia="Times New Roman"/>
        </w:rPr>
        <w:t xml:space="preserve">2020 </w:t>
      </w:r>
      <w:r>
        <w:rPr>
          <w:rFonts w:hint="eastAsia" w:ascii="宋体" w:eastAsia="宋体"/>
        </w:rPr>
        <w:t>年度部门决算编制范</w:t>
      </w:r>
    </w:p>
    <w:p>
      <w:pPr>
        <w:pStyle w:val="3"/>
        <w:spacing w:before="171" w:line="600" w:lineRule="exact"/>
        <w:ind w:left="111"/>
        <w:rPr>
          <w:rFonts w:hint="eastAsia" w:ascii="宋体" w:eastAsia="宋体"/>
        </w:rPr>
      </w:pPr>
      <w:r>
        <w:rPr>
          <w:rFonts w:hint="eastAsia" w:ascii="宋体" w:eastAsia="宋体"/>
        </w:rPr>
        <w:t>围的单位共</w:t>
      </w:r>
      <w:r>
        <w:rPr>
          <w:rFonts w:hint="eastAsia" w:ascii="Times New Roman" w:eastAsia="宋体"/>
        </w:rPr>
        <w:t>2</w:t>
      </w:r>
      <w:r>
        <w:rPr>
          <w:rFonts w:hint="eastAsia" w:ascii="宋体" w:eastAsia="宋体"/>
        </w:rPr>
        <w:t>个，其中一个不独立核算的二级机构</w:t>
      </w:r>
      <w:r>
        <w:rPr>
          <w:rFonts w:hint="eastAsia" w:ascii="Times New Roman" w:eastAsia="宋体"/>
        </w:rPr>
        <w:t>1</w:t>
      </w:r>
      <w:r>
        <w:rPr>
          <w:rFonts w:hint="eastAsia" w:ascii="宋体" w:eastAsia="宋体"/>
        </w:rPr>
        <w:t>个，具体是：</w:t>
      </w:r>
    </w:p>
    <w:p>
      <w:pPr>
        <w:pStyle w:val="9"/>
        <w:numPr>
          <w:ilvl w:val="0"/>
          <w:numId w:val="1"/>
        </w:numPr>
        <w:tabs>
          <w:tab w:val="left" w:pos="1112"/>
        </w:tabs>
        <w:spacing w:before="169" w:line="600" w:lineRule="exact"/>
        <w:ind w:hanging="361"/>
        <w:rPr>
          <w:rFonts w:hint="eastAsia" w:ascii="宋体" w:eastAsia="宋体"/>
          <w:sz w:val="32"/>
        </w:rPr>
      </w:pPr>
      <w:r>
        <w:rPr>
          <w:rFonts w:hint="eastAsia" w:ascii="宋体" w:eastAsia="宋体"/>
          <w:sz w:val="32"/>
        </w:rPr>
        <w:t>洛阳市西工区住建局（本级）</w:t>
      </w:r>
    </w:p>
    <w:p>
      <w:pPr>
        <w:pStyle w:val="9"/>
        <w:numPr>
          <w:ilvl w:val="0"/>
          <w:numId w:val="1"/>
        </w:numPr>
        <w:tabs>
          <w:tab w:val="left" w:pos="1112"/>
        </w:tabs>
        <w:spacing w:before="170" w:line="600" w:lineRule="exact"/>
        <w:ind w:hanging="361"/>
        <w:rPr>
          <w:rFonts w:hint="eastAsia" w:ascii="宋体" w:eastAsia="宋体"/>
          <w:sz w:val="32"/>
        </w:rPr>
      </w:pPr>
      <w:r>
        <w:rPr>
          <w:rFonts w:hint="eastAsia" w:ascii="宋体" w:eastAsia="宋体"/>
          <w:sz w:val="32"/>
        </w:rPr>
        <w:t>洛阳市西工区住房和城乡建设综合服务中心</w:t>
      </w:r>
    </w:p>
    <w:p>
      <w:pPr>
        <w:spacing w:line="600" w:lineRule="exact"/>
        <w:sectPr>
          <w:pgSz w:w="11910" w:h="16840"/>
          <w:pgMar w:top="1701" w:right="1134" w:bottom="1701" w:left="1134" w:header="720" w:footer="720" w:gutter="0"/>
          <w:paperSrc w:first="0" w:other="0"/>
          <w:cols w:space="0" w:num="1"/>
          <w:docGrid/>
        </w:sectPr>
      </w:pPr>
    </w:p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pStyle w:val="2"/>
        <w:tabs>
          <w:tab w:val="left" w:pos="2200"/>
        </w:tabs>
        <w:spacing w:before="51"/>
        <w:ind w:right="120"/>
        <w:jc w:val="left"/>
        <w:rPr>
          <w:rFonts w:hint="eastAsia"/>
          <w:b/>
        </w:rPr>
      </w:pPr>
    </w:p>
    <w:p>
      <w:pPr>
        <w:pStyle w:val="2"/>
        <w:tabs>
          <w:tab w:val="left" w:pos="2200"/>
        </w:tabs>
        <w:spacing w:before="51"/>
        <w:ind w:right="120"/>
        <w:jc w:val="left"/>
        <w:rPr>
          <w:rFonts w:hint="eastAsia"/>
          <w:b/>
        </w:rPr>
      </w:pPr>
    </w:p>
    <w:p>
      <w:pPr>
        <w:pStyle w:val="2"/>
        <w:tabs>
          <w:tab w:val="left" w:pos="2200"/>
        </w:tabs>
        <w:spacing w:before="51"/>
        <w:ind w:right="120"/>
        <w:jc w:val="left"/>
        <w:rPr>
          <w:rFonts w:hint="eastAsia"/>
          <w:b/>
        </w:rPr>
      </w:pPr>
    </w:p>
    <w:p>
      <w:pPr>
        <w:pStyle w:val="2"/>
        <w:tabs>
          <w:tab w:val="left" w:pos="2200"/>
        </w:tabs>
        <w:spacing w:before="51"/>
        <w:ind w:right="120"/>
        <w:jc w:val="left"/>
        <w:rPr>
          <w:rFonts w:hint="eastAsia"/>
          <w:b/>
        </w:rPr>
      </w:pPr>
    </w:p>
    <w:p>
      <w:pPr>
        <w:pStyle w:val="2"/>
        <w:tabs>
          <w:tab w:val="left" w:pos="2200"/>
        </w:tabs>
        <w:spacing w:before="51"/>
        <w:ind w:right="120"/>
        <w:jc w:val="left"/>
        <w:rPr>
          <w:rFonts w:hint="eastAsia"/>
          <w:b/>
        </w:rPr>
      </w:pPr>
    </w:p>
    <w:p>
      <w:pPr>
        <w:pStyle w:val="2"/>
        <w:tabs>
          <w:tab w:val="left" w:pos="2200"/>
        </w:tabs>
        <w:spacing w:before="51"/>
        <w:ind w:right="120"/>
        <w:rPr>
          <w:rFonts w:hint="eastAsia"/>
          <w:b/>
        </w:rPr>
      </w:pPr>
      <w:r>
        <w:rPr>
          <w:b/>
        </w:rPr>
        <w:t>第二部分</w:t>
      </w:r>
      <w:r>
        <w:rPr>
          <w:b/>
        </w:rPr>
        <w:tab/>
      </w:r>
      <w:r>
        <w:rPr>
          <w:rFonts w:ascii="Times New Roman" w:eastAsia="Times New Roman"/>
          <w:b/>
        </w:rPr>
        <w:t>2020</w:t>
      </w:r>
      <w:r>
        <w:rPr>
          <w:rFonts w:ascii="Times New Roman" w:eastAsia="Times New Roman"/>
          <w:b/>
          <w:spacing w:val="-2"/>
        </w:rPr>
        <w:t xml:space="preserve"> </w:t>
      </w:r>
      <w:r>
        <w:rPr>
          <w:b/>
        </w:rPr>
        <w:t>年度部门决算表</w:t>
      </w:r>
    </w:p>
    <w:p>
      <w:pPr>
        <w:pStyle w:val="2"/>
        <w:tabs>
          <w:tab w:val="left" w:pos="2200"/>
        </w:tabs>
        <w:spacing w:before="51"/>
        <w:ind w:right="120"/>
        <w:rPr>
          <w:rFonts w:hint="eastAsia"/>
          <w:b/>
        </w:rPr>
      </w:pPr>
    </w:p>
    <w:p>
      <w:pPr>
        <w:pStyle w:val="2"/>
        <w:tabs>
          <w:tab w:val="left" w:pos="2200"/>
        </w:tabs>
        <w:spacing w:before="51"/>
        <w:ind w:right="120"/>
        <w:rPr>
          <w:rFonts w:hint="eastAsia"/>
          <w:b/>
        </w:rPr>
      </w:pPr>
    </w:p>
    <w:p>
      <w:pPr>
        <w:pStyle w:val="2"/>
        <w:tabs>
          <w:tab w:val="left" w:pos="2200"/>
        </w:tabs>
        <w:spacing w:before="51"/>
        <w:ind w:right="120"/>
        <w:rPr>
          <w:rFonts w:hint="eastAsia"/>
          <w:b/>
        </w:rPr>
      </w:pPr>
    </w:p>
    <w:p>
      <w:pPr>
        <w:pStyle w:val="3"/>
        <w:adjustRightInd w:val="0"/>
        <w:snapToGrid w:val="0"/>
        <w:spacing w:before="1"/>
        <w:rPr>
          <w:rFonts w:hint="eastAsia" w:ascii="宋体" w:hAnsi="宋体" w:eastAsia="宋体"/>
          <w:color w:val="auto"/>
          <w:w w:val="95"/>
          <w:sz w:val="24"/>
          <w:szCs w:val="24"/>
        </w:rPr>
      </w:pPr>
    </w:p>
    <w:p>
      <w:pPr>
        <w:pStyle w:val="3"/>
        <w:adjustRightInd w:val="0"/>
        <w:snapToGrid w:val="0"/>
        <w:spacing w:before="1"/>
        <w:rPr>
          <w:rFonts w:hint="eastAsia" w:ascii="宋体" w:hAnsi="宋体" w:eastAsia="宋体"/>
          <w:color w:val="auto"/>
          <w:w w:val="95"/>
          <w:sz w:val="24"/>
          <w:szCs w:val="24"/>
        </w:rPr>
      </w:pPr>
    </w:p>
    <w:p>
      <w:pPr>
        <w:pStyle w:val="3"/>
        <w:adjustRightInd w:val="0"/>
        <w:snapToGrid w:val="0"/>
        <w:spacing w:before="1"/>
        <w:rPr>
          <w:rFonts w:hint="eastAsia" w:ascii="宋体" w:hAnsi="宋体" w:eastAsia="宋体"/>
          <w:color w:val="auto"/>
          <w:w w:val="95"/>
          <w:sz w:val="24"/>
          <w:szCs w:val="24"/>
        </w:rPr>
      </w:pPr>
    </w:p>
    <w:p>
      <w:pPr>
        <w:pStyle w:val="3"/>
        <w:adjustRightInd w:val="0"/>
        <w:snapToGrid w:val="0"/>
        <w:spacing w:before="1"/>
        <w:rPr>
          <w:rFonts w:hint="eastAsia" w:ascii="宋体" w:hAnsi="宋体" w:eastAsia="宋体"/>
          <w:color w:val="auto"/>
          <w:w w:val="95"/>
          <w:sz w:val="24"/>
          <w:szCs w:val="24"/>
        </w:rPr>
      </w:pPr>
    </w:p>
    <w:p>
      <w:pPr>
        <w:pStyle w:val="3"/>
        <w:adjustRightInd w:val="0"/>
        <w:snapToGrid w:val="0"/>
        <w:spacing w:before="1"/>
        <w:rPr>
          <w:rFonts w:hint="eastAsia" w:ascii="宋体" w:hAnsi="宋体" w:eastAsia="宋体"/>
          <w:color w:val="auto"/>
          <w:w w:val="95"/>
          <w:sz w:val="24"/>
          <w:szCs w:val="24"/>
        </w:rPr>
      </w:pPr>
    </w:p>
    <w:p>
      <w:pPr>
        <w:pStyle w:val="3"/>
        <w:adjustRightInd w:val="0"/>
        <w:snapToGrid w:val="0"/>
        <w:spacing w:before="1"/>
        <w:rPr>
          <w:rFonts w:hint="eastAsia" w:ascii="宋体" w:hAnsi="宋体" w:eastAsia="宋体"/>
          <w:color w:val="auto"/>
          <w:w w:val="95"/>
          <w:sz w:val="24"/>
          <w:szCs w:val="24"/>
        </w:rPr>
      </w:pPr>
    </w:p>
    <w:p>
      <w:pPr>
        <w:pStyle w:val="3"/>
        <w:adjustRightInd w:val="0"/>
        <w:snapToGrid w:val="0"/>
        <w:spacing w:before="1"/>
        <w:rPr>
          <w:rFonts w:hint="eastAsia" w:ascii="宋体" w:hAnsi="宋体" w:eastAsia="宋体"/>
          <w:color w:val="auto"/>
          <w:w w:val="95"/>
          <w:sz w:val="24"/>
          <w:szCs w:val="24"/>
        </w:rPr>
      </w:pPr>
    </w:p>
    <w:p>
      <w:pPr>
        <w:pStyle w:val="3"/>
        <w:adjustRightInd w:val="0"/>
        <w:snapToGrid w:val="0"/>
        <w:spacing w:before="1"/>
        <w:rPr>
          <w:rFonts w:hint="eastAsia" w:ascii="宋体" w:hAnsi="宋体" w:eastAsia="宋体"/>
          <w:color w:val="auto"/>
          <w:w w:val="95"/>
          <w:sz w:val="24"/>
          <w:szCs w:val="24"/>
        </w:rPr>
      </w:pPr>
    </w:p>
    <w:p>
      <w:pPr>
        <w:pStyle w:val="3"/>
        <w:adjustRightInd w:val="0"/>
        <w:snapToGrid w:val="0"/>
        <w:spacing w:before="1"/>
        <w:rPr>
          <w:rFonts w:hint="eastAsia" w:ascii="宋体" w:hAnsi="宋体" w:eastAsia="宋体"/>
          <w:color w:val="auto"/>
          <w:w w:val="95"/>
          <w:sz w:val="24"/>
          <w:szCs w:val="24"/>
        </w:rPr>
      </w:pPr>
    </w:p>
    <w:p>
      <w:pPr>
        <w:pStyle w:val="3"/>
        <w:adjustRightInd w:val="0"/>
        <w:snapToGrid w:val="0"/>
        <w:spacing w:before="1"/>
        <w:rPr>
          <w:rFonts w:hint="eastAsia" w:ascii="宋体" w:hAnsi="宋体" w:eastAsia="宋体"/>
          <w:color w:val="auto"/>
          <w:w w:val="95"/>
          <w:sz w:val="24"/>
          <w:szCs w:val="24"/>
        </w:rPr>
      </w:pPr>
      <w:r>
        <w:rPr>
          <w:rFonts w:hint="eastAsia" w:ascii="宋体" w:hAnsi="宋体" w:eastAsia="宋体"/>
          <w:color w:val="auto"/>
          <w:w w:val="95"/>
          <w:sz w:val="24"/>
          <w:szCs w:val="24"/>
        </w:rPr>
        <w:t>以下为部门决算报表，插入图片</w:t>
      </w:r>
    </w:p>
    <w:p>
      <w:pPr>
        <w:pStyle w:val="3"/>
        <w:numPr>
          <w:ilvl w:val="0"/>
          <w:numId w:val="2"/>
        </w:numPr>
        <w:adjustRightInd w:val="0"/>
        <w:snapToGrid w:val="0"/>
        <w:spacing w:before="1"/>
        <w:rPr>
          <w:rFonts w:hint="eastAsia" w:ascii="宋体" w:hAnsi="宋体" w:eastAsia="宋体"/>
          <w:color w:val="auto"/>
          <w:w w:val="95"/>
          <w:sz w:val="24"/>
          <w:szCs w:val="24"/>
        </w:rPr>
      </w:pPr>
      <w:r>
        <w:rPr>
          <w:rFonts w:hint="eastAsia" w:ascii="宋体" w:hAnsi="宋体" w:eastAsia="宋体"/>
          <w:color w:val="auto"/>
          <w:w w:val="95"/>
          <w:sz w:val="24"/>
          <w:szCs w:val="24"/>
        </w:rPr>
        <w:t>收入支出决算总表</w:t>
      </w:r>
    </w:p>
    <w:p>
      <w:pPr>
        <w:pStyle w:val="3"/>
        <w:adjustRightInd w:val="0"/>
        <w:snapToGrid w:val="0"/>
        <w:spacing w:before="1"/>
        <w:ind w:left="531"/>
        <w:rPr>
          <w:rFonts w:hint="eastAsia" w:ascii="宋体" w:hAnsi="宋体" w:eastAsia="宋体"/>
          <w:color w:val="FF0000"/>
          <w:w w:val="95"/>
          <w:sz w:val="24"/>
          <w:szCs w:val="24"/>
        </w:rPr>
      </w:pPr>
      <w:r>
        <w:rPr>
          <w:rFonts w:hint="eastAsia" w:ascii="宋体" w:hAnsi="宋体" w:eastAsia="宋体" w:cs="仿宋"/>
          <w:color w:val="FF0000"/>
          <w:w w:val="95"/>
          <w:sz w:val="24"/>
          <w:szCs w:val="24"/>
          <w:lang w:val="en-US" w:eastAsia="zh-CN" w:bidi="ar-SA"/>
        </w:rPr>
        <w:pict>
          <v:shape id="图片框 1025" o:spid="_x0000_s1025" type="#_x0000_t75" style="height:472.75pt;width:678.55pt;rotation:0f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宋体" w:hAnsi="宋体" w:eastAsia="宋体"/>
          <w:color w:val="FF0000"/>
          <w:w w:val="95"/>
          <w:sz w:val="24"/>
          <w:szCs w:val="24"/>
        </w:rPr>
        <w:t>·</w:t>
      </w:r>
    </w:p>
    <w:p>
      <w:pPr>
        <w:pStyle w:val="3"/>
        <w:adjustRightInd w:val="0"/>
        <w:snapToGrid w:val="0"/>
        <w:spacing w:before="1"/>
        <w:ind w:left="111"/>
        <w:rPr>
          <w:rFonts w:hint="eastAsia" w:ascii="宋体" w:hAnsi="宋体" w:eastAsia="宋体"/>
          <w:color w:val="FF0000"/>
          <w:w w:val="95"/>
          <w:sz w:val="24"/>
          <w:szCs w:val="24"/>
        </w:rPr>
      </w:pPr>
    </w:p>
    <w:p>
      <w:pPr>
        <w:pStyle w:val="3"/>
        <w:adjustRightInd w:val="0"/>
        <w:snapToGrid w:val="0"/>
        <w:spacing w:before="1"/>
        <w:ind w:left="111"/>
        <w:rPr>
          <w:rFonts w:hint="eastAsia" w:ascii="宋体" w:hAnsi="宋体" w:eastAsia="宋体"/>
          <w:color w:val="FF0000"/>
          <w:w w:val="95"/>
          <w:sz w:val="24"/>
          <w:szCs w:val="24"/>
        </w:rPr>
      </w:pPr>
    </w:p>
    <w:p>
      <w:pPr>
        <w:pStyle w:val="3"/>
        <w:adjustRightInd w:val="0"/>
        <w:snapToGrid w:val="0"/>
        <w:spacing w:before="1"/>
        <w:rPr>
          <w:rFonts w:hint="eastAsia" w:ascii="宋体" w:hAnsi="宋体" w:eastAsia="宋体"/>
          <w:color w:val="auto"/>
          <w:w w:val="95"/>
          <w:sz w:val="24"/>
          <w:szCs w:val="24"/>
        </w:rPr>
      </w:pPr>
      <w:r>
        <w:rPr>
          <w:rFonts w:hint="eastAsia" w:ascii="宋体" w:hAnsi="宋体" w:eastAsia="宋体"/>
          <w:color w:val="auto"/>
          <w:w w:val="95"/>
          <w:sz w:val="24"/>
          <w:szCs w:val="24"/>
        </w:rPr>
        <w:t>二、收入决算表</w:t>
      </w:r>
    </w:p>
    <w:p>
      <w:pPr>
        <w:pStyle w:val="3"/>
        <w:adjustRightInd w:val="0"/>
        <w:snapToGrid w:val="0"/>
        <w:spacing w:before="1"/>
        <w:ind w:left="111"/>
        <w:rPr>
          <w:rFonts w:hint="eastAsia" w:ascii="宋体" w:hAnsi="宋体" w:eastAsia="宋体"/>
          <w:color w:val="FF0000"/>
          <w:w w:val="95"/>
          <w:sz w:val="24"/>
          <w:szCs w:val="24"/>
        </w:rPr>
      </w:pPr>
      <w:r>
        <w:rPr>
          <w:rFonts w:hint="eastAsia" w:ascii="宋体" w:hAnsi="宋体" w:eastAsia="宋体" w:cs="仿宋"/>
          <w:color w:val="FF0000"/>
          <w:w w:val="95"/>
          <w:sz w:val="24"/>
          <w:szCs w:val="24"/>
          <w:lang w:val="en-US" w:eastAsia="zh-CN" w:bidi="ar-SA"/>
        </w:rPr>
        <w:pict>
          <v:shape id="图片框 1026" o:spid="_x0000_s1026" type="#_x0000_t75" style="height:509.45pt;width:717.3pt;rotation:0f;" o:ole="f" fillcolor="#FFFFFF" filled="f" o:preferrelative="t" stroked="f" coordorigin="0,0" coordsize="21600,21600">
            <v:fill on="f" color2="#FFFFFF" focus="0%"/>
            <v:imagedata gain="65536f" blacklevel="0f" gamma="0" o:title="" r:id="rId6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3"/>
        <w:adjustRightInd w:val="0"/>
        <w:snapToGrid w:val="0"/>
        <w:spacing w:before="1"/>
        <w:ind w:left="111"/>
        <w:rPr>
          <w:rFonts w:hint="eastAsia" w:ascii="宋体" w:hAnsi="宋体" w:eastAsia="宋体"/>
          <w:color w:val="auto"/>
          <w:w w:val="95"/>
          <w:sz w:val="24"/>
          <w:szCs w:val="24"/>
        </w:rPr>
      </w:pPr>
      <w:r>
        <w:rPr>
          <w:rFonts w:hint="eastAsia" w:ascii="宋体" w:hAnsi="宋体" w:eastAsia="宋体"/>
          <w:color w:val="auto"/>
          <w:w w:val="95"/>
          <w:sz w:val="24"/>
          <w:szCs w:val="24"/>
        </w:rPr>
        <w:t>三、支出决算表</w:t>
      </w:r>
    </w:p>
    <w:p>
      <w:pPr>
        <w:pStyle w:val="3"/>
        <w:adjustRightInd w:val="0"/>
        <w:snapToGrid w:val="0"/>
        <w:spacing w:before="1"/>
        <w:ind w:left="111"/>
        <w:rPr>
          <w:rFonts w:hint="eastAsia" w:ascii="宋体" w:hAnsi="宋体" w:eastAsia="宋体"/>
          <w:color w:val="FF0000"/>
          <w:w w:val="95"/>
          <w:sz w:val="24"/>
          <w:szCs w:val="24"/>
        </w:rPr>
      </w:pPr>
      <w:r>
        <w:rPr>
          <w:rFonts w:hint="eastAsia" w:ascii="宋体" w:hAnsi="宋体" w:eastAsia="宋体" w:cs="仿宋"/>
          <w:color w:val="FF0000"/>
          <w:w w:val="95"/>
          <w:sz w:val="24"/>
          <w:szCs w:val="24"/>
          <w:lang w:val="en-US" w:eastAsia="zh-CN" w:bidi="ar-SA"/>
        </w:rPr>
        <w:pict>
          <v:shape id="图片框 1027" o:spid="_x0000_s1027" type="#_x0000_t75" style="height:520.3pt;width:716.6pt;rotation:0f;" o:ole="f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3"/>
        <w:adjustRightInd w:val="0"/>
        <w:snapToGrid w:val="0"/>
        <w:spacing w:before="1"/>
        <w:ind w:left="111"/>
        <w:rPr>
          <w:rFonts w:hint="eastAsia" w:ascii="宋体" w:hAnsi="宋体" w:eastAsia="宋体"/>
          <w:color w:val="auto"/>
          <w:w w:val="95"/>
          <w:sz w:val="24"/>
          <w:szCs w:val="24"/>
        </w:rPr>
      </w:pPr>
      <w:r>
        <w:rPr>
          <w:rFonts w:hint="eastAsia" w:ascii="宋体" w:hAnsi="宋体" w:eastAsia="宋体"/>
          <w:color w:val="auto"/>
          <w:w w:val="95"/>
          <w:sz w:val="24"/>
          <w:szCs w:val="24"/>
        </w:rPr>
        <w:t>四、财政拨款收入支出决算总表</w:t>
      </w:r>
    </w:p>
    <w:p>
      <w:pPr>
        <w:pStyle w:val="3"/>
        <w:adjustRightInd w:val="0"/>
        <w:snapToGrid w:val="0"/>
        <w:spacing w:before="1"/>
        <w:ind w:left="111"/>
        <w:rPr>
          <w:rFonts w:hint="eastAsia" w:ascii="宋体" w:hAnsi="宋体" w:eastAsia="宋体"/>
          <w:color w:val="FF0000"/>
          <w:w w:val="95"/>
          <w:sz w:val="24"/>
          <w:szCs w:val="24"/>
        </w:rPr>
      </w:pPr>
      <w:r>
        <w:rPr>
          <w:rFonts w:hint="eastAsia" w:ascii="宋体" w:hAnsi="宋体" w:eastAsia="宋体" w:cs="仿宋"/>
          <w:color w:val="FF0000"/>
          <w:w w:val="95"/>
          <w:sz w:val="24"/>
          <w:szCs w:val="24"/>
          <w:lang w:val="en-US" w:eastAsia="zh-CN" w:bidi="ar-SA"/>
        </w:rPr>
        <w:pict>
          <v:shape id="图片框 1028" o:spid="_x0000_s1028" type="#_x0000_t75" style="height:510.1pt;width:725.45pt;rotation:0f;" o:ole="f" fillcolor="#FFFFFF" filled="f" o:preferrelative="t" stroked="f" coordorigin="0,0" coordsize="21600,21600">
            <v:fill on="f" color2="#FFFFFF" focus="0%"/>
            <v:imagedata gain="65536f" blacklevel="0f" gamma="0" o:title="" r:id="rId8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3"/>
        <w:adjustRightInd w:val="0"/>
        <w:snapToGrid w:val="0"/>
        <w:spacing w:before="1"/>
        <w:ind w:left="111"/>
        <w:rPr>
          <w:rFonts w:hint="eastAsia" w:ascii="宋体" w:hAnsi="宋体" w:eastAsia="宋体"/>
          <w:color w:val="auto"/>
          <w:w w:val="95"/>
          <w:sz w:val="24"/>
          <w:szCs w:val="24"/>
        </w:rPr>
      </w:pPr>
      <w:r>
        <w:rPr>
          <w:rFonts w:hint="eastAsia" w:ascii="宋体" w:hAnsi="宋体" w:eastAsia="宋体"/>
          <w:color w:val="auto"/>
          <w:w w:val="95"/>
          <w:sz w:val="24"/>
          <w:szCs w:val="24"/>
        </w:rPr>
        <w:t>五、一般公共预算财政拨款支出决算表</w:t>
      </w:r>
    </w:p>
    <w:p>
      <w:pPr>
        <w:pStyle w:val="3"/>
        <w:adjustRightInd w:val="0"/>
        <w:snapToGrid w:val="0"/>
        <w:spacing w:before="1"/>
        <w:ind w:left="111"/>
        <w:rPr>
          <w:rFonts w:hint="eastAsia" w:ascii="宋体" w:hAnsi="宋体" w:eastAsia="宋体"/>
          <w:color w:val="FF0000"/>
          <w:w w:val="95"/>
          <w:sz w:val="24"/>
          <w:szCs w:val="24"/>
        </w:rPr>
      </w:pPr>
      <w:r>
        <w:rPr>
          <w:rFonts w:hint="eastAsia" w:ascii="宋体" w:hAnsi="宋体" w:eastAsia="宋体" w:cs="仿宋"/>
          <w:color w:val="FF0000"/>
          <w:w w:val="95"/>
          <w:sz w:val="24"/>
          <w:szCs w:val="24"/>
          <w:lang w:val="en-US" w:eastAsia="zh-CN" w:bidi="ar-SA"/>
        </w:rPr>
        <w:pict>
          <v:shape id="图片框 1029" o:spid="_x0000_s1029" type="#_x0000_t75" style="height:508.75pt;width:726.1pt;rotation:0f;" o:ole="f" fillcolor="#FFFFFF" filled="f" o:preferrelative="t" stroked="f" coordorigin="0,0" coordsize="21600,21600">
            <v:fill on="f" color2="#FFFFFF" focus="0%"/>
            <v:imagedata gain="65536f" blacklevel="0f" gamma="0" o:title="" r:id="rId9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3"/>
        <w:adjustRightInd w:val="0"/>
        <w:snapToGrid w:val="0"/>
        <w:spacing w:before="1"/>
        <w:ind w:left="111"/>
        <w:rPr>
          <w:rFonts w:hint="eastAsia" w:ascii="宋体" w:hAnsi="宋体" w:eastAsia="宋体"/>
          <w:color w:val="auto"/>
          <w:w w:val="95"/>
          <w:sz w:val="24"/>
          <w:szCs w:val="24"/>
        </w:rPr>
      </w:pPr>
      <w:r>
        <w:rPr>
          <w:rFonts w:hint="eastAsia" w:ascii="宋体" w:hAnsi="宋体" w:eastAsia="宋体"/>
          <w:color w:val="auto"/>
          <w:w w:val="95"/>
          <w:sz w:val="24"/>
          <w:szCs w:val="24"/>
        </w:rPr>
        <w:t>六、一般公共预算财政拨款基本支出决算表</w:t>
      </w:r>
    </w:p>
    <w:p>
      <w:pPr>
        <w:pStyle w:val="3"/>
        <w:adjustRightInd w:val="0"/>
        <w:snapToGrid w:val="0"/>
        <w:spacing w:before="1"/>
        <w:ind w:left="111"/>
        <w:rPr>
          <w:rFonts w:hint="eastAsia" w:ascii="宋体" w:hAnsi="宋体" w:eastAsia="宋体"/>
          <w:color w:val="FF0000"/>
          <w:w w:val="95"/>
          <w:sz w:val="24"/>
          <w:szCs w:val="24"/>
        </w:rPr>
      </w:pPr>
      <w:r>
        <w:rPr>
          <w:rFonts w:hint="eastAsia" w:ascii="宋体" w:hAnsi="宋体" w:eastAsia="宋体" w:cs="仿宋"/>
          <w:color w:val="FF0000"/>
          <w:w w:val="95"/>
          <w:sz w:val="24"/>
          <w:szCs w:val="24"/>
          <w:lang w:val="en-US" w:eastAsia="zh-CN" w:bidi="ar-SA"/>
        </w:rPr>
        <w:pict>
          <v:shape id="图片框 1030" o:spid="_x0000_s1030" type="#_x0000_t75" style="height:424.55pt;width:725.45pt;rotation:0f;" o:ole="f" fillcolor="#FFFFFF" filled="f" o:preferrelative="t" stroked="f" coordorigin="0,0" coordsize="21600,21600">
            <v:fill on="f" color2="#FFFFFF" focus="0%"/>
            <v:imagedata gain="65536f" blacklevel="0f" gamma="0" o:title="" r:id="rId10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3"/>
        <w:adjustRightInd w:val="0"/>
        <w:snapToGrid w:val="0"/>
        <w:spacing w:before="1"/>
        <w:ind w:left="111"/>
        <w:rPr>
          <w:rFonts w:hint="eastAsia" w:ascii="宋体" w:hAnsi="宋体" w:eastAsia="宋体"/>
          <w:color w:val="FF0000"/>
          <w:w w:val="95"/>
          <w:sz w:val="24"/>
          <w:szCs w:val="24"/>
        </w:rPr>
      </w:pPr>
    </w:p>
    <w:p>
      <w:pPr>
        <w:pStyle w:val="3"/>
        <w:adjustRightInd w:val="0"/>
        <w:snapToGrid w:val="0"/>
        <w:spacing w:before="1"/>
        <w:ind w:left="111"/>
        <w:rPr>
          <w:rFonts w:hint="eastAsia" w:ascii="宋体" w:hAnsi="宋体" w:eastAsia="宋体"/>
          <w:color w:val="FF0000"/>
          <w:w w:val="95"/>
          <w:sz w:val="24"/>
          <w:szCs w:val="24"/>
        </w:rPr>
      </w:pPr>
    </w:p>
    <w:p>
      <w:pPr>
        <w:pStyle w:val="3"/>
        <w:adjustRightInd w:val="0"/>
        <w:snapToGrid w:val="0"/>
        <w:spacing w:before="1"/>
        <w:ind w:left="111"/>
        <w:rPr>
          <w:rFonts w:hint="eastAsia" w:ascii="宋体" w:hAnsi="宋体" w:eastAsia="宋体"/>
          <w:color w:val="FF0000"/>
          <w:w w:val="95"/>
          <w:sz w:val="24"/>
          <w:szCs w:val="24"/>
        </w:rPr>
      </w:pPr>
    </w:p>
    <w:p>
      <w:pPr>
        <w:pStyle w:val="3"/>
        <w:adjustRightInd w:val="0"/>
        <w:snapToGrid w:val="0"/>
        <w:spacing w:before="1"/>
        <w:ind w:left="111"/>
        <w:rPr>
          <w:rFonts w:hint="eastAsia" w:ascii="宋体" w:hAnsi="宋体" w:eastAsia="宋体"/>
          <w:color w:val="FF0000"/>
          <w:w w:val="95"/>
          <w:sz w:val="24"/>
          <w:szCs w:val="24"/>
        </w:rPr>
      </w:pPr>
    </w:p>
    <w:p>
      <w:pPr>
        <w:pStyle w:val="3"/>
        <w:adjustRightInd w:val="0"/>
        <w:snapToGrid w:val="0"/>
        <w:spacing w:before="1"/>
        <w:ind w:left="111"/>
        <w:rPr>
          <w:rFonts w:hint="eastAsia" w:ascii="宋体" w:hAnsi="宋体" w:eastAsia="宋体"/>
          <w:color w:val="FF0000"/>
          <w:w w:val="95"/>
          <w:sz w:val="24"/>
          <w:szCs w:val="24"/>
        </w:rPr>
      </w:pPr>
    </w:p>
    <w:p>
      <w:pPr>
        <w:pStyle w:val="3"/>
        <w:adjustRightInd w:val="0"/>
        <w:snapToGrid w:val="0"/>
        <w:spacing w:before="1"/>
        <w:ind w:left="111"/>
        <w:rPr>
          <w:rFonts w:hint="eastAsia" w:ascii="宋体" w:hAnsi="宋体" w:eastAsia="宋体"/>
          <w:color w:val="FF0000"/>
          <w:w w:val="95"/>
          <w:sz w:val="24"/>
          <w:szCs w:val="24"/>
        </w:rPr>
      </w:pPr>
    </w:p>
    <w:p>
      <w:pPr>
        <w:pStyle w:val="3"/>
        <w:adjustRightInd w:val="0"/>
        <w:snapToGrid w:val="0"/>
        <w:spacing w:before="1"/>
        <w:ind w:left="111"/>
        <w:rPr>
          <w:rFonts w:hint="eastAsia" w:ascii="宋体" w:hAnsi="宋体" w:eastAsia="宋体"/>
          <w:color w:val="auto"/>
          <w:w w:val="95"/>
          <w:sz w:val="24"/>
          <w:szCs w:val="24"/>
        </w:rPr>
      </w:pPr>
      <w:r>
        <w:rPr>
          <w:rFonts w:hint="eastAsia" w:ascii="宋体" w:hAnsi="宋体" w:eastAsia="宋体"/>
          <w:color w:val="auto"/>
          <w:w w:val="95"/>
          <w:sz w:val="24"/>
          <w:szCs w:val="24"/>
        </w:rPr>
        <w:t>七、一般公共预算财政拨款</w:t>
      </w:r>
      <w:r>
        <w:rPr>
          <w:rFonts w:ascii="宋体" w:hAnsi="宋体" w:eastAsia="宋体"/>
          <w:color w:val="auto"/>
          <w:w w:val="95"/>
          <w:sz w:val="24"/>
          <w:szCs w:val="24"/>
        </w:rPr>
        <w:t>“</w:t>
      </w:r>
      <w:r>
        <w:rPr>
          <w:rFonts w:hint="eastAsia" w:ascii="宋体" w:hAnsi="宋体" w:eastAsia="宋体"/>
          <w:color w:val="auto"/>
          <w:w w:val="95"/>
          <w:sz w:val="24"/>
          <w:szCs w:val="24"/>
        </w:rPr>
        <w:t>三公</w:t>
      </w:r>
      <w:r>
        <w:rPr>
          <w:rFonts w:ascii="宋体" w:hAnsi="宋体" w:eastAsia="宋体"/>
          <w:color w:val="auto"/>
          <w:w w:val="95"/>
          <w:sz w:val="24"/>
          <w:szCs w:val="24"/>
        </w:rPr>
        <w:t>”</w:t>
      </w:r>
      <w:r>
        <w:rPr>
          <w:rFonts w:hint="eastAsia" w:ascii="宋体" w:hAnsi="宋体" w:eastAsia="宋体"/>
          <w:color w:val="auto"/>
          <w:w w:val="95"/>
          <w:sz w:val="24"/>
          <w:szCs w:val="24"/>
        </w:rPr>
        <w:t>经费支出决算表</w:t>
      </w:r>
    </w:p>
    <w:p>
      <w:pPr>
        <w:pStyle w:val="3"/>
        <w:adjustRightInd w:val="0"/>
        <w:snapToGrid w:val="0"/>
        <w:spacing w:before="1"/>
        <w:ind w:left="111"/>
        <w:rPr>
          <w:rFonts w:hint="eastAsia" w:ascii="宋体" w:hAnsi="宋体" w:eastAsia="宋体"/>
          <w:color w:val="FF0000"/>
          <w:w w:val="95"/>
          <w:sz w:val="24"/>
          <w:szCs w:val="24"/>
        </w:rPr>
      </w:pPr>
      <w:r>
        <w:rPr>
          <w:rFonts w:hint="eastAsia" w:ascii="宋体" w:hAnsi="宋体" w:eastAsia="宋体" w:cs="仿宋"/>
          <w:color w:val="FF0000"/>
          <w:w w:val="95"/>
          <w:sz w:val="24"/>
          <w:szCs w:val="24"/>
          <w:lang w:val="en-US" w:eastAsia="zh-CN" w:bidi="ar-SA"/>
        </w:rPr>
        <w:pict>
          <v:shape id="图片框 1031" o:spid="_x0000_s1031" type="#_x0000_t75" style="height:163.7pt;width:725.45pt;rotation:0f;" o:ole="f" fillcolor="#FFFFFF" filled="f" o:preferrelative="t" stroked="f" coordorigin="0,0" coordsize="21600,21600">
            <v:fill on="f" color2="#FFFFFF" focus="0%"/>
            <v:imagedata gain="65536f" blacklevel="0f" gamma="0" o:title="" r:id="rId11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3"/>
        <w:adjustRightInd w:val="0"/>
        <w:snapToGrid w:val="0"/>
        <w:spacing w:before="1"/>
        <w:ind w:left="111"/>
        <w:rPr>
          <w:rFonts w:hint="eastAsia" w:ascii="宋体" w:hAnsi="宋体" w:eastAsia="宋体"/>
          <w:color w:val="FF0000"/>
          <w:w w:val="95"/>
          <w:sz w:val="24"/>
          <w:szCs w:val="24"/>
        </w:rPr>
      </w:pPr>
    </w:p>
    <w:p>
      <w:pPr>
        <w:pStyle w:val="3"/>
        <w:adjustRightInd w:val="0"/>
        <w:snapToGrid w:val="0"/>
        <w:spacing w:before="1"/>
        <w:ind w:left="111"/>
        <w:rPr>
          <w:rFonts w:hint="eastAsia" w:ascii="宋体" w:hAnsi="宋体" w:eastAsia="宋体"/>
          <w:color w:val="FF0000"/>
          <w:w w:val="95"/>
          <w:sz w:val="24"/>
          <w:szCs w:val="24"/>
        </w:rPr>
      </w:pPr>
    </w:p>
    <w:p>
      <w:pPr>
        <w:pStyle w:val="3"/>
        <w:adjustRightInd w:val="0"/>
        <w:snapToGrid w:val="0"/>
        <w:spacing w:before="1"/>
        <w:ind w:left="111"/>
        <w:rPr>
          <w:rFonts w:hint="eastAsia" w:ascii="宋体" w:hAnsi="宋体" w:eastAsia="宋体"/>
          <w:color w:val="FF0000"/>
          <w:w w:val="95"/>
          <w:sz w:val="24"/>
          <w:szCs w:val="24"/>
        </w:rPr>
      </w:pPr>
    </w:p>
    <w:p>
      <w:pPr>
        <w:pStyle w:val="3"/>
        <w:adjustRightInd w:val="0"/>
        <w:snapToGrid w:val="0"/>
        <w:spacing w:before="1"/>
        <w:ind w:left="111"/>
        <w:rPr>
          <w:rFonts w:hint="eastAsia" w:ascii="宋体" w:hAnsi="宋体" w:eastAsia="宋体"/>
          <w:color w:val="FF0000"/>
          <w:w w:val="95"/>
          <w:sz w:val="24"/>
          <w:szCs w:val="24"/>
        </w:rPr>
      </w:pPr>
    </w:p>
    <w:p>
      <w:pPr>
        <w:pStyle w:val="3"/>
        <w:adjustRightInd w:val="0"/>
        <w:snapToGrid w:val="0"/>
        <w:spacing w:before="1"/>
        <w:ind w:left="111"/>
        <w:rPr>
          <w:rFonts w:hint="eastAsia" w:ascii="宋体" w:hAnsi="宋体" w:eastAsia="宋体"/>
          <w:color w:val="FF0000"/>
          <w:w w:val="95"/>
          <w:sz w:val="24"/>
          <w:szCs w:val="24"/>
        </w:rPr>
      </w:pPr>
    </w:p>
    <w:p>
      <w:pPr>
        <w:pStyle w:val="3"/>
        <w:adjustRightInd w:val="0"/>
        <w:snapToGrid w:val="0"/>
        <w:spacing w:before="1"/>
        <w:ind w:left="111"/>
        <w:rPr>
          <w:rFonts w:hint="eastAsia" w:ascii="宋体" w:hAnsi="宋体" w:eastAsia="宋体"/>
          <w:color w:val="FF0000"/>
          <w:w w:val="95"/>
          <w:sz w:val="24"/>
          <w:szCs w:val="24"/>
        </w:rPr>
      </w:pPr>
    </w:p>
    <w:p>
      <w:pPr>
        <w:pStyle w:val="3"/>
        <w:adjustRightInd w:val="0"/>
        <w:snapToGrid w:val="0"/>
        <w:spacing w:before="1"/>
        <w:ind w:left="111"/>
        <w:rPr>
          <w:rFonts w:hint="eastAsia" w:ascii="宋体" w:hAnsi="宋体" w:eastAsia="宋体"/>
          <w:color w:val="FF0000"/>
          <w:w w:val="95"/>
          <w:sz w:val="24"/>
          <w:szCs w:val="24"/>
        </w:rPr>
      </w:pPr>
    </w:p>
    <w:p>
      <w:pPr>
        <w:pStyle w:val="3"/>
        <w:adjustRightInd w:val="0"/>
        <w:snapToGrid w:val="0"/>
        <w:spacing w:before="1"/>
        <w:ind w:left="111"/>
        <w:rPr>
          <w:rFonts w:hint="eastAsia" w:ascii="宋体" w:hAnsi="宋体" w:eastAsia="宋体"/>
          <w:color w:val="FF0000"/>
          <w:w w:val="95"/>
          <w:sz w:val="24"/>
          <w:szCs w:val="24"/>
        </w:rPr>
      </w:pPr>
    </w:p>
    <w:p>
      <w:pPr>
        <w:pStyle w:val="3"/>
        <w:adjustRightInd w:val="0"/>
        <w:snapToGrid w:val="0"/>
        <w:spacing w:before="1"/>
        <w:ind w:left="111"/>
        <w:rPr>
          <w:rFonts w:hint="eastAsia" w:ascii="宋体" w:hAnsi="宋体" w:eastAsia="宋体"/>
          <w:color w:val="FF0000"/>
          <w:w w:val="95"/>
          <w:sz w:val="24"/>
          <w:szCs w:val="24"/>
        </w:rPr>
      </w:pPr>
    </w:p>
    <w:p>
      <w:pPr>
        <w:pStyle w:val="3"/>
        <w:adjustRightInd w:val="0"/>
        <w:snapToGrid w:val="0"/>
        <w:spacing w:before="1"/>
        <w:ind w:left="111"/>
        <w:rPr>
          <w:rFonts w:hint="eastAsia" w:ascii="宋体" w:hAnsi="宋体" w:eastAsia="宋体"/>
          <w:color w:val="FF0000"/>
          <w:w w:val="95"/>
          <w:sz w:val="24"/>
          <w:szCs w:val="24"/>
        </w:rPr>
      </w:pPr>
    </w:p>
    <w:p>
      <w:pPr>
        <w:pStyle w:val="3"/>
        <w:adjustRightInd w:val="0"/>
        <w:snapToGrid w:val="0"/>
        <w:spacing w:before="1"/>
        <w:ind w:left="111"/>
        <w:rPr>
          <w:rFonts w:hint="eastAsia" w:ascii="宋体" w:hAnsi="宋体" w:eastAsia="宋体"/>
          <w:color w:val="FF0000"/>
          <w:w w:val="95"/>
          <w:sz w:val="24"/>
          <w:szCs w:val="24"/>
        </w:rPr>
      </w:pPr>
    </w:p>
    <w:p>
      <w:pPr>
        <w:pStyle w:val="3"/>
        <w:adjustRightInd w:val="0"/>
        <w:snapToGrid w:val="0"/>
        <w:spacing w:before="1"/>
        <w:ind w:left="111"/>
        <w:rPr>
          <w:rFonts w:hint="eastAsia" w:ascii="宋体" w:hAnsi="宋体" w:eastAsia="宋体"/>
          <w:color w:val="FF0000"/>
          <w:w w:val="95"/>
          <w:sz w:val="24"/>
          <w:szCs w:val="24"/>
        </w:rPr>
      </w:pPr>
    </w:p>
    <w:p>
      <w:pPr>
        <w:pStyle w:val="3"/>
        <w:adjustRightInd w:val="0"/>
        <w:snapToGrid w:val="0"/>
        <w:spacing w:before="1"/>
        <w:ind w:left="111"/>
        <w:rPr>
          <w:rFonts w:hint="eastAsia" w:ascii="宋体" w:hAnsi="宋体" w:eastAsia="宋体"/>
          <w:color w:val="FF0000"/>
          <w:w w:val="95"/>
          <w:sz w:val="24"/>
          <w:szCs w:val="24"/>
        </w:rPr>
      </w:pPr>
    </w:p>
    <w:p>
      <w:pPr>
        <w:pStyle w:val="3"/>
        <w:adjustRightInd w:val="0"/>
        <w:snapToGrid w:val="0"/>
        <w:spacing w:before="1"/>
        <w:ind w:left="111"/>
        <w:rPr>
          <w:rFonts w:hint="eastAsia" w:ascii="宋体" w:hAnsi="宋体" w:eastAsia="宋体"/>
          <w:color w:val="FF0000"/>
          <w:w w:val="95"/>
          <w:sz w:val="24"/>
          <w:szCs w:val="24"/>
        </w:rPr>
      </w:pPr>
    </w:p>
    <w:p>
      <w:pPr>
        <w:pStyle w:val="3"/>
        <w:adjustRightInd w:val="0"/>
        <w:snapToGrid w:val="0"/>
        <w:spacing w:before="1"/>
        <w:ind w:left="111"/>
        <w:rPr>
          <w:rFonts w:hint="eastAsia" w:ascii="宋体" w:hAnsi="宋体" w:eastAsia="宋体"/>
          <w:color w:val="FF0000"/>
          <w:w w:val="95"/>
          <w:sz w:val="24"/>
          <w:szCs w:val="24"/>
        </w:rPr>
      </w:pPr>
    </w:p>
    <w:p>
      <w:pPr>
        <w:pStyle w:val="3"/>
        <w:adjustRightInd w:val="0"/>
        <w:snapToGrid w:val="0"/>
        <w:spacing w:before="1"/>
        <w:ind w:left="111"/>
        <w:rPr>
          <w:rFonts w:hint="eastAsia" w:ascii="宋体" w:hAnsi="宋体" w:eastAsia="宋体"/>
          <w:color w:val="FF0000"/>
          <w:w w:val="95"/>
          <w:sz w:val="24"/>
          <w:szCs w:val="24"/>
        </w:rPr>
      </w:pPr>
    </w:p>
    <w:p>
      <w:pPr>
        <w:pStyle w:val="3"/>
        <w:adjustRightInd w:val="0"/>
        <w:snapToGrid w:val="0"/>
        <w:spacing w:before="1"/>
        <w:ind w:left="111"/>
        <w:rPr>
          <w:rFonts w:hint="eastAsia" w:ascii="宋体" w:hAnsi="宋体" w:eastAsia="宋体"/>
          <w:color w:val="FF0000"/>
          <w:w w:val="95"/>
          <w:sz w:val="24"/>
          <w:szCs w:val="24"/>
        </w:rPr>
      </w:pPr>
    </w:p>
    <w:p>
      <w:pPr>
        <w:pStyle w:val="3"/>
        <w:adjustRightInd w:val="0"/>
        <w:snapToGrid w:val="0"/>
        <w:spacing w:before="1"/>
        <w:ind w:left="111"/>
        <w:rPr>
          <w:rFonts w:hint="eastAsia" w:ascii="宋体" w:hAnsi="宋体" w:eastAsia="宋体"/>
          <w:color w:val="FF0000"/>
          <w:w w:val="95"/>
          <w:sz w:val="24"/>
          <w:szCs w:val="24"/>
        </w:rPr>
      </w:pPr>
    </w:p>
    <w:p>
      <w:pPr>
        <w:pStyle w:val="3"/>
        <w:adjustRightInd w:val="0"/>
        <w:snapToGrid w:val="0"/>
        <w:spacing w:before="1"/>
        <w:ind w:left="111"/>
        <w:rPr>
          <w:rFonts w:hint="eastAsia" w:ascii="宋体" w:hAnsi="宋体" w:eastAsia="宋体"/>
          <w:color w:val="FF0000"/>
          <w:w w:val="95"/>
          <w:sz w:val="24"/>
          <w:szCs w:val="24"/>
        </w:rPr>
      </w:pPr>
    </w:p>
    <w:p>
      <w:pPr>
        <w:pStyle w:val="3"/>
        <w:adjustRightInd w:val="0"/>
        <w:snapToGrid w:val="0"/>
        <w:spacing w:before="1"/>
        <w:ind w:left="111"/>
        <w:rPr>
          <w:rFonts w:hint="eastAsia" w:ascii="宋体" w:hAnsi="宋体" w:eastAsia="宋体"/>
          <w:color w:val="FF0000"/>
          <w:w w:val="95"/>
          <w:sz w:val="24"/>
          <w:szCs w:val="24"/>
        </w:rPr>
      </w:pPr>
    </w:p>
    <w:p>
      <w:pPr>
        <w:pStyle w:val="3"/>
        <w:adjustRightInd w:val="0"/>
        <w:snapToGrid w:val="0"/>
        <w:spacing w:before="1"/>
        <w:ind w:left="111"/>
        <w:rPr>
          <w:rFonts w:hint="eastAsia" w:ascii="宋体" w:hAnsi="宋体" w:eastAsia="宋体"/>
          <w:color w:val="FF0000"/>
          <w:w w:val="95"/>
          <w:sz w:val="24"/>
          <w:szCs w:val="24"/>
        </w:rPr>
      </w:pPr>
    </w:p>
    <w:p>
      <w:pPr>
        <w:pStyle w:val="3"/>
        <w:adjustRightInd w:val="0"/>
        <w:snapToGrid w:val="0"/>
        <w:spacing w:before="1"/>
        <w:ind w:left="111"/>
        <w:rPr>
          <w:rFonts w:hint="eastAsia" w:ascii="宋体" w:hAnsi="宋体" w:eastAsia="宋体"/>
          <w:color w:val="FF0000"/>
          <w:w w:val="95"/>
          <w:sz w:val="24"/>
          <w:szCs w:val="24"/>
        </w:rPr>
      </w:pPr>
    </w:p>
    <w:p>
      <w:pPr>
        <w:pStyle w:val="3"/>
        <w:adjustRightInd w:val="0"/>
        <w:snapToGrid w:val="0"/>
        <w:spacing w:before="1"/>
        <w:ind w:left="111"/>
        <w:rPr>
          <w:rFonts w:hint="eastAsia" w:ascii="宋体" w:hAnsi="宋体" w:eastAsia="宋体"/>
          <w:color w:val="FF0000"/>
          <w:w w:val="95"/>
          <w:sz w:val="24"/>
          <w:szCs w:val="24"/>
        </w:rPr>
      </w:pPr>
    </w:p>
    <w:p>
      <w:pPr>
        <w:pStyle w:val="3"/>
        <w:adjustRightInd w:val="0"/>
        <w:snapToGrid w:val="0"/>
        <w:spacing w:before="1"/>
        <w:ind w:left="111"/>
        <w:rPr>
          <w:rFonts w:hint="eastAsia" w:ascii="宋体" w:hAnsi="宋体" w:eastAsia="宋体"/>
          <w:color w:val="auto"/>
          <w:w w:val="95"/>
          <w:sz w:val="24"/>
          <w:szCs w:val="24"/>
        </w:rPr>
      </w:pPr>
      <w:r>
        <w:rPr>
          <w:rFonts w:hint="eastAsia" w:ascii="宋体" w:hAnsi="宋体" w:eastAsia="宋体"/>
          <w:color w:val="auto"/>
          <w:w w:val="95"/>
          <w:sz w:val="24"/>
          <w:szCs w:val="24"/>
        </w:rPr>
        <w:t>八、政府性基金预算财政拨款收入支出决算表</w:t>
      </w:r>
    </w:p>
    <w:p>
      <w:pPr>
        <w:pStyle w:val="3"/>
        <w:adjustRightInd w:val="0"/>
        <w:snapToGrid w:val="0"/>
        <w:spacing w:before="1"/>
        <w:ind w:left="111"/>
        <w:rPr>
          <w:rFonts w:hint="eastAsia" w:ascii="宋体" w:hAnsi="宋体" w:eastAsia="宋体"/>
          <w:color w:val="FF0000"/>
          <w:w w:val="95"/>
          <w:sz w:val="24"/>
          <w:szCs w:val="24"/>
        </w:rPr>
      </w:pPr>
      <w:r>
        <w:rPr>
          <w:rFonts w:hint="eastAsia" w:ascii="宋体" w:hAnsi="宋体" w:eastAsia="宋体" w:cs="仿宋"/>
          <w:color w:val="FF0000"/>
          <w:w w:val="95"/>
          <w:sz w:val="24"/>
          <w:szCs w:val="24"/>
          <w:lang w:val="en-US" w:eastAsia="zh-CN" w:bidi="ar-SA"/>
        </w:rPr>
        <w:pict>
          <v:shape id="图片框 1032" o:spid="_x0000_s1032" type="#_x0000_t75" style="height:262.85pt;width:725.45pt;rotation:0f;" o:ole="f" fillcolor="#FFFFFF" filled="f" o:preferrelative="t" stroked="f" coordorigin="0,0" coordsize="21600,21600">
            <v:fill on="f" color2="#FFFFFF" focus="0%"/>
            <v:imagedata gain="65536f" blacklevel="0f" gamma="0" o:title="" r:id="rId12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3"/>
        <w:adjustRightInd w:val="0"/>
        <w:snapToGrid w:val="0"/>
        <w:spacing w:before="1"/>
        <w:ind w:left="111"/>
        <w:rPr>
          <w:rFonts w:hint="eastAsia" w:ascii="宋体" w:hAnsi="宋体" w:eastAsia="宋体"/>
          <w:color w:val="FF0000"/>
          <w:w w:val="95"/>
          <w:sz w:val="24"/>
          <w:szCs w:val="24"/>
        </w:rPr>
      </w:pPr>
    </w:p>
    <w:p>
      <w:pPr>
        <w:pStyle w:val="3"/>
        <w:adjustRightInd w:val="0"/>
        <w:snapToGrid w:val="0"/>
        <w:spacing w:before="1"/>
        <w:ind w:left="111"/>
        <w:rPr>
          <w:rFonts w:hint="eastAsia" w:ascii="宋体" w:hAnsi="宋体" w:eastAsia="宋体"/>
          <w:color w:val="FF0000"/>
          <w:w w:val="95"/>
          <w:sz w:val="24"/>
          <w:szCs w:val="24"/>
        </w:rPr>
      </w:pPr>
    </w:p>
    <w:p>
      <w:pPr>
        <w:pStyle w:val="3"/>
        <w:adjustRightInd w:val="0"/>
        <w:snapToGrid w:val="0"/>
        <w:spacing w:before="1"/>
        <w:ind w:left="111"/>
        <w:sectPr>
          <w:pgSz w:w="16840" w:h="11910" w:orient="landscape"/>
          <w:pgMar w:top="567" w:right="567" w:bottom="567" w:left="567" w:header="720" w:footer="720" w:gutter="0"/>
          <w:paperSrc w:first="0" w:other="0"/>
          <w:cols w:space="0" w:num="1"/>
          <w:docGrid/>
        </w:sectPr>
      </w:pPr>
    </w:p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pStyle w:val="3"/>
        <w:spacing w:before="7"/>
        <w:rPr>
          <w:rFonts w:ascii="宋体"/>
          <w:sz w:val="22"/>
        </w:rPr>
      </w:pPr>
    </w:p>
    <w:p>
      <w:pPr>
        <w:pStyle w:val="2"/>
        <w:tabs>
          <w:tab w:val="left" w:pos="2938"/>
        </w:tabs>
        <w:spacing w:before="52"/>
        <w:ind w:left="737"/>
        <w:jc w:val="left"/>
        <w:rPr>
          <w:b/>
        </w:rPr>
      </w:pPr>
      <w:r>
        <w:rPr>
          <w:b/>
        </w:rPr>
        <w:t>第三部分</w:t>
      </w:r>
      <w:r>
        <w:rPr>
          <w:b/>
        </w:rPr>
        <w:tab/>
      </w:r>
      <w:r>
        <w:rPr>
          <w:rFonts w:ascii="Times New Roman" w:eastAsia="Times New Roman"/>
          <w:b/>
        </w:rPr>
        <w:t>2020</w:t>
      </w:r>
      <w:r>
        <w:rPr>
          <w:rFonts w:ascii="Times New Roman" w:eastAsia="Times New Roman"/>
          <w:b/>
          <w:spacing w:val="-2"/>
        </w:rPr>
        <w:t xml:space="preserve"> </w:t>
      </w:r>
      <w:r>
        <w:rPr>
          <w:b/>
        </w:rPr>
        <w:t>年度部门决算情况说明</w:t>
      </w:r>
    </w:p>
    <w:p>
      <w:pPr>
        <w:sectPr>
          <w:pgSz w:w="11910" w:h="16840"/>
          <w:pgMar w:top="1701" w:right="1134" w:bottom="1701" w:left="1134" w:header="720" w:footer="720" w:gutter="0"/>
          <w:paperSrc w:first="0" w:other="0"/>
          <w:cols w:space="720" w:num="1"/>
          <w:docGrid/>
        </w:sectPr>
      </w:pPr>
    </w:p>
    <w:p>
      <w:pPr>
        <w:pStyle w:val="3"/>
        <w:wordWrap/>
        <w:autoSpaceDE w:val="0"/>
        <w:autoSpaceDN w:val="0"/>
        <w:adjustRightInd/>
        <w:snapToGrid/>
        <w:spacing w:before="0" w:after="0" w:line="600" w:lineRule="exact"/>
        <w:ind w:left="0" w:leftChars="0" w:right="0"/>
        <w:textAlignment w:val="auto"/>
        <w:outlineLvl w:val="9"/>
        <w:rPr>
          <w:rFonts w:hint="eastAsia" w:ascii="黑体" w:eastAsia="黑体"/>
        </w:rPr>
      </w:pPr>
      <w:r>
        <w:rPr>
          <w:rFonts w:hint="eastAsia" w:ascii="黑体" w:eastAsia="黑体"/>
        </w:rPr>
        <w:t>一、收入支出决算总体情况说明</w:t>
      </w:r>
    </w:p>
    <w:p>
      <w:pPr>
        <w:pStyle w:val="3"/>
        <w:wordWrap/>
        <w:autoSpaceDE w:val="0"/>
        <w:autoSpaceDN w:val="0"/>
        <w:adjustRightInd/>
        <w:snapToGrid/>
        <w:spacing w:before="0" w:after="0" w:line="600" w:lineRule="exact"/>
        <w:ind w:left="0" w:leftChars="0" w:right="0" w:firstLine="640"/>
        <w:jc w:val="both"/>
        <w:textAlignment w:val="auto"/>
        <w:outlineLvl w:val="9"/>
        <w:rPr>
          <w:spacing w:val="-6"/>
        </w:rPr>
      </w:pPr>
      <w:r>
        <w:rPr>
          <w:rFonts w:ascii="Times New Roman" w:eastAsia="Times New Roman"/>
        </w:rPr>
        <w:t xml:space="preserve">2020 </w:t>
      </w:r>
      <w:r>
        <w:rPr>
          <w:spacing w:val="-8"/>
        </w:rPr>
        <w:t>年度收、支总计均为</w:t>
      </w:r>
      <w:r>
        <w:rPr>
          <w:rFonts w:hint="eastAsia" w:ascii="Times New Roman" w:eastAsia="宋体"/>
          <w:lang w:val="en-US" w:eastAsia="zh-CN"/>
        </w:rPr>
        <w:t>3067.61</w:t>
      </w:r>
      <w:r>
        <w:t xml:space="preserve">万元。与上年度相比， </w:t>
      </w:r>
      <w:r>
        <w:rPr>
          <w:spacing w:val="-3"/>
        </w:rPr>
        <w:t>收、支总计各增加</w:t>
      </w:r>
      <w:r>
        <w:rPr>
          <w:rFonts w:hint="eastAsia" w:ascii="Times New Roman" w:eastAsia="宋体"/>
          <w:lang w:val="en-US" w:eastAsia="zh-CN"/>
        </w:rPr>
        <w:t>2068.63</w:t>
      </w:r>
      <w:r>
        <w:rPr>
          <w:spacing w:val="-7"/>
        </w:rPr>
        <w:t>万元，增长</w:t>
      </w:r>
      <w:r>
        <w:rPr>
          <w:rFonts w:hint="eastAsia" w:ascii="Times New Roman" w:eastAsia="宋体"/>
          <w:lang w:val="en-US" w:eastAsia="zh-CN"/>
        </w:rPr>
        <w:t>207</w:t>
      </w:r>
      <w:r>
        <w:rPr>
          <w:rFonts w:ascii="Times New Roman" w:eastAsia="Times New Roman"/>
        </w:rPr>
        <w:t>%</w:t>
      </w:r>
      <w:r>
        <w:rPr>
          <w:spacing w:val="6"/>
        </w:rPr>
        <w:t>。主要原因是</w:t>
      </w:r>
      <w:r>
        <w:rPr>
          <w:rFonts w:ascii="Times New Roman" w:eastAsia="Times New Roman"/>
          <w:spacing w:val="6"/>
        </w:rPr>
        <w:t>2020</w:t>
      </w:r>
      <w:r>
        <w:rPr>
          <w:rFonts w:ascii="Times New Roman" w:eastAsia="Times New Roman"/>
          <w:spacing w:val="14"/>
        </w:rPr>
        <w:t xml:space="preserve"> </w:t>
      </w:r>
      <w:r>
        <w:rPr>
          <w:spacing w:val="18"/>
        </w:rPr>
        <w:t>年新冠肺炎疫情突发，</w:t>
      </w:r>
      <w:r>
        <w:rPr>
          <w:spacing w:val="-6"/>
        </w:rPr>
        <w:t>抗疫特别国债安排的</w:t>
      </w:r>
      <w:r>
        <w:t>支出</w:t>
      </w:r>
      <w:r>
        <w:rPr>
          <w:rFonts w:ascii="Times New Roman" w:eastAsia="Times New Roman"/>
        </w:rPr>
        <w:t>-</w:t>
      </w:r>
      <w:r>
        <w:rPr>
          <w:spacing w:val="-6"/>
        </w:rPr>
        <w:t>其他基础设施建设</w:t>
      </w:r>
      <w:r>
        <w:rPr>
          <w:rFonts w:hint="eastAsia"/>
          <w:spacing w:val="-6"/>
          <w:lang w:eastAsia="zh-CN"/>
        </w:rPr>
        <w:t>支出、交通基础设施建设支出、市政设施建设支出、</w:t>
      </w:r>
      <w:r>
        <w:rPr>
          <w:rFonts w:hint="eastAsia"/>
          <w:spacing w:val="18"/>
          <w:lang w:eastAsia="zh-CN"/>
        </w:rPr>
        <w:t>能源节约利用支出、车辆购置税支出、其他城乡社区住宅支出</w:t>
      </w:r>
      <w:r>
        <w:rPr>
          <w:spacing w:val="-6"/>
        </w:rPr>
        <w:t>较上年增加</w:t>
      </w:r>
      <w:r>
        <w:rPr>
          <w:rFonts w:hint="eastAsia"/>
          <w:spacing w:val="-6"/>
          <w:lang w:eastAsia="zh-CN"/>
        </w:rPr>
        <w:t>，上述项目上年均为</w:t>
      </w:r>
      <w:r>
        <w:rPr>
          <w:rFonts w:hint="eastAsia"/>
          <w:spacing w:val="-6"/>
          <w:lang w:val="en-US" w:eastAsia="zh-CN"/>
        </w:rPr>
        <w:t>0万元</w:t>
      </w:r>
      <w:r>
        <w:t>。</w:t>
      </w:r>
    </w:p>
    <w:p>
      <w:pPr>
        <w:pStyle w:val="3"/>
        <w:wordWrap/>
        <w:autoSpaceDE w:val="0"/>
        <w:autoSpaceDN w:val="0"/>
        <w:adjustRightInd/>
        <w:snapToGrid/>
        <w:spacing w:before="0" w:after="0" w:line="600" w:lineRule="exact"/>
        <w:ind w:left="0" w:leftChars="0" w:right="0"/>
        <w:textAlignment w:val="auto"/>
        <w:outlineLvl w:val="9"/>
        <w:rPr>
          <w:rFonts w:hint="eastAsia" w:ascii="黑体" w:eastAsia="黑体"/>
        </w:rPr>
      </w:pPr>
      <w:r>
        <w:rPr>
          <w:rFonts w:hint="eastAsia" w:ascii="黑体" w:eastAsia="黑体"/>
        </w:rPr>
        <w:t>二、收入决算情况说明</w:t>
      </w:r>
    </w:p>
    <w:p>
      <w:pPr>
        <w:pStyle w:val="3"/>
        <w:wordWrap/>
        <w:autoSpaceDE w:val="0"/>
        <w:autoSpaceDN w:val="0"/>
        <w:adjustRightInd/>
        <w:snapToGrid/>
        <w:spacing w:before="0" w:after="0" w:line="600" w:lineRule="exact"/>
        <w:ind w:left="0" w:leftChars="0" w:right="0" w:firstLine="640"/>
        <w:jc w:val="both"/>
        <w:textAlignment w:val="auto"/>
        <w:outlineLvl w:val="9"/>
      </w:pPr>
      <w:r>
        <w:rPr>
          <w:rFonts w:ascii="Times New Roman" w:eastAsia="Times New Roman"/>
        </w:rPr>
        <w:t>2020</w:t>
      </w:r>
      <w:r>
        <w:rPr>
          <w:rFonts w:ascii="Times New Roman" w:eastAsia="Times New Roman"/>
          <w:spacing w:val="-7"/>
        </w:rPr>
        <w:t xml:space="preserve"> </w:t>
      </w:r>
      <w:r>
        <w:rPr>
          <w:spacing w:val="-13"/>
        </w:rPr>
        <w:t>年度收入合计</w:t>
      </w:r>
      <w:r>
        <w:rPr>
          <w:rFonts w:hint="eastAsia" w:ascii="Times New Roman" w:eastAsia="宋体"/>
        </w:rPr>
        <w:t>3067.61</w:t>
      </w:r>
      <w:r>
        <w:rPr>
          <w:spacing w:val="-22"/>
        </w:rPr>
        <w:t>万元，比上年度增加</w:t>
      </w:r>
      <w:r>
        <w:rPr>
          <w:rFonts w:hint="eastAsia" w:ascii="Times New Roman" w:eastAsia="宋体"/>
        </w:rPr>
        <w:t>2068.63</w:t>
      </w:r>
      <w:r>
        <w:rPr>
          <w:rFonts w:ascii="Times New Roman" w:eastAsia="Times New Roman"/>
        </w:rPr>
        <w:t xml:space="preserve"> </w:t>
      </w:r>
      <w:r>
        <w:rPr>
          <w:spacing w:val="-5"/>
        </w:rPr>
        <w:t xml:space="preserve">万元，增长 </w:t>
      </w:r>
      <w:r>
        <w:rPr>
          <w:rFonts w:hint="eastAsia" w:ascii="Times New Roman" w:eastAsia="宋体"/>
          <w:spacing w:val="2"/>
        </w:rPr>
        <w:t>207</w:t>
      </w:r>
      <w:r>
        <w:rPr>
          <w:rFonts w:ascii="Times New Roman" w:eastAsia="Times New Roman"/>
          <w:spacing w:val="2"/>
        </w:rPr>
        <w:t>%</w:t>
      </w:r>
      <w:r>
        <w:rPr>
          <w:spacing w:val="10"/>
        </w:rPr>
        <w:t>。其中：财政拨款收入</w:t>
      </w:r>
      <w:r>
        <w:rPr>
          <w:rFonts w:hint="eastAsia" w:ascii="Times New Roman" w:eastAsia="宋体"/>
          <w:lang w:val="en-US" w:eastAsia="zh-CN"/>
        </w:rPr>
        <w:t>3067.61</w:t>
      </w:r>
      <w:r>
        <w:rPr>
          <w:spacing w:val="9"/>
        </w:rPr>
        <w:t>万元，占</w:t>
      </w:r>
      <w:r>
        <w:rPr>
          <w:rFonts w:hint="eastAsia" w:ascii="Times New Roman" w:eastAsia="宋体"/>
          <w:spacing w:val="1"/>
          <w:w w:val="99"/>
          <w:lang w:val="en-US" w:eastAsia="zh-CN"/>
        </w:rPr>
        <w:t>100</w:t>
      </w:r>
      <w:r>
        <w:rPr>
          <w:rFonts w:ascii="Times New Roman" w:eastAsia="Times New Roman"/>
          <w:w w:val="99"/>
        </w:rPr>
        <w:t>%</w:t>
      </w:r>
      <w:r>
        <w:rPr>
          <w:spacing w:val="-32"/>
          <w:w w:val="99"/>
        </w:rPr>
        <w:t>；事业收入</w:t>
      </w:r>
      <w:r>
        <w:rPr>
          <w:rFonts w:hint="eastAsia" w:ascii="Times New Roman" w:eastAsia="宋体"/>
          <w:spacing w:val="1"/>
          <w:w w:val="99"/>
        </w:rPr>
        <w:t>0</w:t>
      </w:r>
      <w:r>
        <w:rPr>
          <w:spacing w:val="-40"/>
          <w:w w:val="99"/>
        </w:rPr>
        <w:t>万元，占</w:t>
      </w:r>
      <w:r>
        <w:rPr>
          <w:rFonts w:hint="eastAsia" w:ascii="Times New Roman" w:eastAsia="宋体"/>
          <w:spacing w:val="1"/>
          <w:w w:val="99"/>
        </w:rPr>
        <w:t>0</w:t>
      </w:r>
      <w:r>
        <w:rPr>
          <w:rFonts w:ascii="Times New Roman" w:eastAsia="Times New Roman"/>
          <w:spacing w:val="3"/>
          <w:w w:val="99"/>
        </w:rPr>
        <w:t>%</w:t>
      </w:r>
      <w:r>
        <w:rPr>
          <w:spacing w:val="-32"/>
          <w:w w:val="99"/>
        </w:rPr>
        <w:t>；其他收入</w:t>
      </w:r>
      <w:r>
        <w:rPr>
          <w:spacing w:val="-81"/>
        </w:rPr>
        <w:t xml:space="preserve"> </w:t>
      </w:r>
      <w:r>
        <w:rPr>
          <w:rFonts w:hint="eastAsia" w:ascii="Times New Roman" w:eastAsia="宋体"/>
          <w:spacing w:val="1"/>
          <w:w w:val="99"/>
        </w:rPr>
        <w:t>0</w:t>
      </w:r>
      <w:r>
        <w:rPr>
          <w:spacing w:val="-16"/>
        </w:rPr>
        <w:t>万元，占</w:t>
      </w:r>
      <w:r>
        <w:rPr>
          <w:rFonts w:hint="eastAsia" w:ascii="Times New Roman" w:eastAsia="宋体"/>
        </w:rPr>
        <w:t>0</w:t>
      </w:r>
      <w:r>
        <w:rPr>
          <w:rFonts w:ascii="Times New Roman" w:eastAsia="Times New Roman"/>
        </w:rPr>
        <w:t>%</w:t>
      </w:r>
      <w:r>
        <w:t>。</w:t>
      </w:r>
    </w:p>
    <w:p>
      <w:pPr>
        <w:pStyle w:val="3"/>
        <w:wordWrap/>
        <w:autoSpaceDE w:val="0"/>
        <w:autoSpaceDN w:val="0"/>
        <w:adjustRightInd/>
        <w:snapToGrid/>
        <w:spacing w:before="0" w:after="0" w:line="600" w:lineRule="exact"/>
        <w:ind w:left="0" w:leftChars="0" w:right="0"/>
        <w:textAlignment w:val="auto"/>
        <w:outlineLvl w:val="9"/>
        <w:rPr>
          <w:rFonts w:hint="eastAsia" w:ascii="黑体" w:eastAsia="黑体"/>
        </w:rPr>
      </w:pPr>
      <w:r>
        <w:rPr>
          <w:rFonts w:hint="eastAsia" w:ascii="黑体" w:eastAsia="黑体"/>
        </w:rPr>
        <w:t>三、支出决算情况说明</w:t>
      </w:r>
    </w:p>
    <w:p>
      <w:pPr>
        <w:pStyle w:val="3"/>
        <w:wordWrap/>
        <w:autoSpaceDE w:val="0"/>
        <w:autoSpaceDN w:val="0"/>
        <w:adjustRightInd/>
        <w:snapToGrid/>
        <w:spacing w:before="0" w:after="0" w:line="600" w:lineRule="exact"/>
        <w:ind w:left="0" w:leftChars="0" w:right="0" w:firstLine="640"/>
        <w:textAlignment w:val="auto"/>
        <w:outlineLvl w:val="9"/>
      </w:pPr>
      <w:r>
        <w:rPr>
          <w:rFonts w:ascii="Times New Roman" w:eastAsia="Times New Roman"/>
        </w:rPr>
        <w:t xml:space="preserve">2020 </w:t>
      </w:r>
      <w:r>
        <w:rPr>
          <w:spacing w:val="-12"/>
        </w:rPr>
        <w:t>年度支出合计</w:t>
      </w:r>
      <w:r>
        <w:rPr>
          <w:rFonts w:hint="eastAsia" w:ascii="Times New Roman" w:eastAsia="宋体"/>
        </w:rPr>
        <w:t>2312.37</w:t>
      </w:r>
      <w:r>
        <w:rPr>
          <w:rFonts w:ascii="Times New Roman" w:eastAsia="Times New Roman"/>
        </w:rPr>
        <w:t xml:space="preserve"> </w:t>
      </w:r>
      <w:r>
        <w:rPr>
          <w:spacing w:val="-22"/>
        </w:rPr>
        <w:t>万元，比上年度增加</w:t>
      </w:r>
      <w:r>
        <w:rPr>
          <w:rFonts w:hint="eastAsia" w:ascii="Times New Roman" w:eastAsia="宋体"/>
        </w:rPr>
        <w:t>1426.91</w:t>
      </w:r>
      <w:r>
        <w:rPr>
          <w:spacing w:val="-33"/>
        </w:rPr>
        <w:t>万元，增长</w:t>
      </w:r>
      <w:r>
        <w:rPr>
          <w:rFonts w:hint="eastAsia" w:ascii="Times New Roman" w:eastAsia="宋体"/>
        </w:rPr>
        <w:t>161</w:t>
      </w:r>
      <w:r>
        <w:rPr>
          <w:rFonts w:ascii="Times New Roman" w:eastAsia="Times New Roman"/>
        </w:rPr>
        <w:t>%</w:t>
      </w:r>
      <w:r>
        <w:rPr>
          <w:spacing w:val="-34"/>
        </w:rPr>
        <w:t xml:space="preserve">。其中：基本支出 </w:t>
      </w:r>
      <w:r>
        <w:rPr>
          <w:rFonts w:hint="eastAsia" w:ascii="Times New Roman" w:eastAsia="宋体"/>
        </w:rPr>
        <w:t>451.67</w:t>
      </w:r>
      <w:r>
        <w:rPr>
          <w:rFonts w:ascii="Times New Roman" w:eastAsia="Times New Roman"/>
        </w:rPr>
        <w:t xml:space="preserve"> </w:t>
      </w:r>
      <w:r>
        <w:rPr>
          <w:spacing w:val="-38"/>
        </w:rPr>
        <w:t>万元，占</w:t>
      </w:r>
      <w:r>
        <w:rPr>
          <w:rFonts w:hint="eastAsia" w:ascii="Times New Roman" w:eastAsia="宋体"/>
        </w:rPr>
        <w:t>20</w:t>
      </w:r>
      <w:r>
        <w:rPr>
          <w:rFonts w:ascii="Times New Roman" w:eastAsia="Times New Roman"/>
        </w:rPr>
        <w:t>%</w:t>
      </w:r>
      <w:r>
        <w:t xml:space="preserve">； </w:t>
      </w:r>
      <w:r>
        <w:rPr>
          <w:spacing w:val="-16"/>
        </w:rPr>
        <w:t>项目支出</w:t>
      </w:r>
      <w:r>
        <w:rPr>
          <w:rFonts w:hint="eastAsia" w:ascii="Times New Roman" w:eastAsia="宋体"/>
        </w:rPr>
        <w:t>1860.7</w:t>
      </w:r>
      <w:r>
        <w:rPr>
          <w:spacing w:val="-16"/>
        </w:rPr>
        <w:t>万元，占</w:t>
      </w:r>
      <w:r>
        <w:rPr>
          <w:rFonts w:hint="eastAsia" w:ascii="Times New Roman" w:eastAsia="宋体"/>
        </w:rPr>
        <w:t>80</w:t>
      </w:r>
      <w:r>
        <w:rPr>
          <w:rFonts w:ascii="Times New Roman" w:eastAsia="Times New Roman"/>
        </w:rPr>
        <w:t>%</w:t>
      </w:r>
      <w:r>
        <w:t>。</w:t>
      </w:r>
    </w:p>
    <w:p>
      <w:pPr>
        <w:pStyle w:val="3"/>
        <w:wordWrap/>
        <w:autoSpaceDE w:val="0"/>
        <w:autoSpaceDN w:val="0"/>
        <w:adjustRightInd/>
        <w:snapToGrid/>
        <w:spacing w:before="0" w:after="0" w:line="600" w:lineRule="exact"/>
        <w:ind w:left="0" w:leftChars="0" w:right="0"/>
        <w:textAlignment w:val="auto"/>
        <w:outlineLvl w:val="9"/>
        <w:rPr>
          <w:rFonts w:hint="eastAsia" w:ascii="黑体" w:eastAsia="黑体"/>
        </w:rPr>
      </w:pPr>
      <w:r>
        <w:rPr>
          <w:rFonts w:hint="eastAsia" w:ascii="黑体" w:eastAsia="黑体"/>
        </w:rPr>
        <w:t>四、财政拨款收入支出决算总体情况说明</w:t>
      </w:r>
    </w:p>
    <w:p>
      <w:pPr>
        <w:pStyle w:val="3"/>
        <w:wordWrap/>
        <w:autoSpaceDE w:val="0"/>
        <w:autoSpaceDN w:val="0"/>
        <w:adjustRightInd/>
        <w:snapToGrid/>
        <w:spacing w:before="0" w:after="0" w:line="600" w:lineRule="exact"/>
        <w:ind w:left="0" w:leftChars="0" w:right="0" w:firstLine="640"/>
        <w:textAlignment w:val="auto"/>
        <w:outlineLvl w:val="9"/>
        <w:rPr>
          <w:spacing w:val="-6"/>
        </w:rPr>
      </w:pPr>
      <w:r>
        <w:rPr>
          <w:spacing w:val="-5"/>
        </w:rPr>
        <w:t>2020 年度财政拨款收、支总计均为</w:t>
      </w:r>
      <w:r>
        <w:rPr>
          <w:rFonts w:hint="eastAsia" w:ascii="Times New Roman" w:eastAsia="宋体"/>
          <w:lang w:val="en-US" w:eastAsia="zh-CN"/>
        </w:rPr>
        <w:t>3067.61</w:t>
      </w:r>
      <w:r>
        <w:rPr>
          <w:spacing w:val="-5"/>
        </w:rPr>
        <w:t>万元，与上年度相比，财政拨款收、支总计各增加</w:t>
      </w:r>
      <w:r>
        <w:rPr>
          <w:rFonts w:hint="eastAsia" w:ascii="Times New Roman" w:eastAsia="宋体"/>
        </w:rPr>
        <w:t>2068.63</w:t>
      </w:r>
      <w:r>
        <w:rPr>
          <w:spacing w:val="-5"/>
        </w:rPr>
        <w:t xml:space="preserve"> 万元， 增长</w:t>
      </w:r>
      <w:r>
        <w:rPr>
          <w:rFonts w:hint="eastAsia"/>
          <w:spacing w:val="-5"/>
          <w:lang w:val="en-US" w:eastAsia="zh-CN"/>
        </w:rPr>
        <w:t>207</w:t>
      </w:r>
      <w:r>
        <w:rPr>
          <w:spacing w:val="-5"/>
        </w:rPr>
        <w:t>%。</w:t>
      </w:r>
      <w:r>
        <w:rPr>
          <w:spacing w:val="6"/>
        </w:rPr>
        <w:t>主要原因是</w:t>
      </w:r>
      <w:r>
        <w:rPr>
          <w:rFonts w:ascii="Times New Roman" w:eastAsia="Times New Roman"/>
          <w:spacing w:val="6"/>
        </w:rPr>
        <w:t>2020</w:t>
      </w:r>
      <w:r>
        <w:rPr>
          <w:rFonts w:ascii="Times New Roman" w:eastAsia="Times New Roman"/>
          <w:spacing w:val="14"/>
        </w:rPr>
        <w:t xml:space="preserve"> </w:t>
      </w:r>
      <w:r>
        <w:rPr>
          <w:spacing w:val="18"/>
        </w:rPr>
        <w:t>年新冠肺炎疫情突发，</w:t>
      </w:r>
      <w:r>
        <w:rPr>
          <w:spacing w:val="-6"/>
        </w:rPr>
        <w:t>抗疫特别国债安排的</w:t>
      </w:r>
      <w:r>
        <w:t>支出</w:t>
      </w:r>
      <w:r>
        <w:rPr>
          <w:rFonts w:ascii="Times New Roman" w:eastAsia="Times New Roman"/>
        </w:rPr>
        <w:t>-</w:t>
      </w:r>
      <w:r>
        <w:rPr>
          <w:spacing w:val="-6"/>
        </w:rPr>
        <w:t>其他基础设施建设</w:t>
      </w:r>
      <w:r>
        <w:rPr>
          <w:rFonts w:hint="eastAsia"/>
          <w:spacing w:val="-6"/>
          <w:lang w:eastAsia="zh-CN"/>
        </w:rPr>
        <w:t>支出、交通基础设施建设支出、市政设施建设支出、</w:t>
      </w:r>
      <w:r>
        <w:rPr>
          <w:rFonts w:hint="eastAsia"/>
          <w:spacing w:val="18"/>
          <w:lang w:eastAsia="zh-CN"/>
        </w:rPr>
        <w:t>能源节约利用支出、车辆购置税支出、其他城乡社区住宅支出</w:t>
      </w:r>
      <w:r>
        <w:rPr>
          <w:spacing w:val="-6"/>
        </w:rPr>
        <w:t>较上年增加</w:t>
      </w:r>
      <w:r>
        <w:rPr>
          <w:rFonts w:hint="eastAsia"/>
          <w:spacing w:val="-6"/>
          <w:lang w:eastAsia="zh-CN"/>
        </w:rPr>
        <w:t>，上述项目上年均为</w:t>
      </w:r>
      <w:r>
        <w:rPr>
          <w:rFonts w:hint="eastAsia"/>
          <w:spacing w:val="-6"/>
          <w:lang w:val="en-US" w:eastAsia="zh-CN"/>
        </w:rPr>
        <w:t>0万元</w:t>
      </w:r>
      <w:r>
        <w:t>。</w:t>
      </w:r>
    </w:p>
    <w:p>
      <w:pPr>
        <w:pStyle w:val="3"/>
        <w:wordWrap/>
        <w:autoSpaceDE w:val="0"/>
        <w:autoSpaceDN w:val="0"/>
        <w:adjustRightInd/>
        <w:snapToGrid/>
        <w:spacing w:before="0" w:after="0" w:line="600" w:lineRule="exact"/>
        <w:ind w:left="0" w:leftChars="0" w:right="0" w:firstLine="640"/>
        <w:textAlignment w:val="auto"/>
        <w:outlineLvl w:val="9"/>
        <w:rPr>
          <w:rFonts w:hint="eastAsia" w:ascii="Times New Roman" w:eastAsia="Times New Roman"/>
        </w:rPr>
      </w:pPr>
      <w:r>
        <w:rPr>
          <w:rFonts w:hint="eastAsia" w:ascii="黑体" w:eastAsia="黑体"/>
          <w:sz w:val="30"/>
        </w:rPr>
        <w:t>五、一般公共预算财政拨款支出决算情况说明</w:t>
      </w:r>
    </w:p>
    <w:p>
      <w:pPr>
        <w:pStyle w:val="3"/>
        <w:wordWrap/>
        <w:autoSpaceDE w:val="0"/>
        <w:autoSpaceDN w:val="0"/>
        <w:adjustRightInd/>
        <w:snapToGrid/>
        <w:spacing w:before="0" w:after="0" w:line="600" w:lineRule="exact"/>
        <w:ind w:left="0" w:leftChars="0" w:right="0"/>
        <w:textAlignment w:val="auto"/>
        <w:outlineLvl w:val="9"/>
        <w:rPr>
          <w:rFonts w:hint="eastAsia" w:ascii="楷体" w:eastAsia="楷体"/>
        </w:rPr>
      </w:pPr>
      <w:r>
        <w:rPr>
          <w:rFonts w:hint="eastAsia" w:ascii="楷体" w:eastAsia="楷体"/>
        </w:rPr>
        <w:t>（一）总体情况</w:t>
      </w:r>
    </w:p>
    <w:p>
      <w:pPr>
        <w:pStyle w:val="3"/>
        <w:wordWrap/>
        <w:autoSpaceDE w:val="0"/>
        <w:autoSpaceDN w:val="0"/>
        <w:adjustRightInd/>
        <w:snapToGrid/>
        <w:spacing w:before="0" w:after="0" w:line="600" w:lineRule="exact"/>
        <w:ind w:left="0" w:leftChars="0" w:right="0" w:firstLine="640"/>
        <w:textAlignment w:val="auto"/>
        <w:outlineLvl w:val="9"/>
        <w:rPr>
          <w:spacing w:val="-6"/>
        </w:rPr>
      </w:pPr>
      <w:r>
        <w:rPr>
          <w:rFonts w:ascii="Times New Roman" w:eastAsia="Times New Roman"/>
        </w:rPr>
        <w:t xml:space="preserve">2020 </w:t>
      </w:r>
      <w:r>
        <w:rPr>
          <w:spacing w:val="-5"/>
        </w:rPr>
        <w:t>年度一般公共预算财政拨款支出</w:t>
      </w:r>
      <w:r>
        <w:rPr>
          <w:rFonts w:hint="eastAsia" w:ascii="Times New Roman" w:eastAsia="宋体"/>
        </w:rPr>
        <w:t>2312.37</w:t>
      </w:r>
      <w:r>
        <w:t>万元，占本</w:t>
      </w:r>
      <w:r>
        <w:rPr>
          <w:spacing w:val="-10"/>
        </w:rPr>
        <w:t>年支出合计的</w:t>
      </w:r>
      <w:r>
        <w:rPr>
          <w:rFonts w:hint="eastAsia" w:ascii="Times New Roman" w:eastAsia="宋体"/>
        </w:rPr>
        <w:t>100</w:t>
      </w:r>
      <w:r>
        <w:rPr>
          <w:rFonts w:ascii="Times New Roman" w:eastAsia="Times New Roman"/>
        </w:rPr>
        <w:t>%</w:t>
      </w:r>
      <w:r>
        <w:rPr>
          <w:spacing w:val="3"/>
        </w:rPr>
        <w:t>。与上年度相比，一般公共预算财政拨款</w:t>
      </w:r>
      <w:r>
        <w:rPr>
          <w:spacing w:val="-17"/>
        </w:rPr>
        <w:t>支出增加</w:t>
      </w:r>
      <w:r>
        <w:rPr>
          <w:rFonts w:hint="eastAsia" w:ascii="Times New Roman" w:eastAsia="宋体"/>
          <w:lang w:val="en-US" w:eastAsia="zh-CN"/>
        </w:rPr>
        <w:t>1426.91</w:t>
      </w:r>
      <w:r>
        <w:rPr>
          <w:spacing w:val="-14"/>
        </w:rPr>
        <w:t>万元，增长</w:t>
      </w:r>
      <w:r>
        <w:rPr>
          <w:rFonts w:hint="eastAsia" w:ascii="Times New Roman" w:eastAsia="宋体"/>
          <w:lang w:val="en-US" w:eastAsia="zh-CN"/>
        </w:rPr>
        <w:t>161</w:t>
      </w:r>
      <w:r>
        <w:rPr>
          <w:rFonts w:ascii="Times New Roman" w:eastAsia="Times New Roman"/>
        </w:rPr>
        <w:t>%</w:t>
      </w:r>
      <w:r>
        <w:rPr>
          <w:spacing w:val="-12"/>
        </w:rPr>
        <w:t>。</w:t>
      </w:r>
      <w:r>
        <w:rPr>
          <w:spacing w:val="6"/>
        </w:rPr>
        <w:t>主要原因是</w:t>
      </w:r>
      <w:r>
        <w:rPr>
          <w:rFonts w:ascii="Times New Roman" w:eastAsia="Times New Roman"/>
          <w:spacing w:val="6"/>
        </w:rPr>
        <w:t>2020</w:t>
      </w:r>
      <w:r>
        <w:rPr>
          <w:rFonts w:ascii="Times New Roman" w:eastAsia="Times New Roman"/>
          <w:spacing w:val="14"/>
        </w:rPr>
        <w:t xml:space="preserve"> </w:t>
      </w:r>
      <w:r>
        <w:rPr>
          <w:spacing w:val="18"/>
        </w:rPr>
        <w:t>年新冠肺炎疫情突发，</w:t>
      </w:r>
      <w:r>
        <w:rPr>
          <w:spacing w:val="-6"/>
        </w:rPr>
        <w:t>抗疫特别国债安排的</w:t>
      </w:r>
      <w:r>
        <w:t>支出</w:t>
      </w:r>
      <w:r>
        <w:rPr>
          <w:rFonts w:ascii="Times New Roman" w:eastAsia="Times New Roman"/>
        </w:rPr>
        <w:t>-</w:t>
      </w:r>
      <w:r>
        <w:rPr>
          <w:spacing w:val="-6"/>
        </w:rPr>
        <w:t>其他基础设施建设</w:t>
      </w:r>
      <w:r>
        <w:rPr>
          <w:rFonts w:hint="eastAsia"/>
          <w:spacing w:val="-6"/>
          <w:lang w:eastAsia="zh-CN"/>
        </w:rPr>
        <w:t>支出、交通基础设施建设支出、市政设施建设支出、</w:t>
      </w:r>
      <w:r>
        <w:rPr>
          <w:rFonts w:hint="eastAsia"/>
          <w:spacing w:val="18"/>
          <w:lang w:eastAsia="zh-CN"/>
        </w:rPr>
        <w:t>能源节约利用支出、车辆购置税支出、其他城乡社区住宅支出</w:t>
      </w:r>
      <w:r>
        <w:rPr>
          <w:spacing w:val="-6"/>
        </w:rPr>
        <w:t>较上年增加</w:t>
      </w:r>
      <w:r>
        <w:rPr>
          <w:rFonts w:hint="eastAsia"/>
          <w:spacing w:val="-6"/>
          <w:lang w:eastAsia="zh-CN"/>
        </w:rPr>
        <w:t>，上述项目上年均为</w:t>
      </w:r>
      <w:r>
        <w:rPr>
          <w:rFonts w:hint="eastAsia"/>
          <w:spacing w:val="-6"/>
          <w:lang w:val="en-US" w:eastAsia="zh-CN"/>
        </w:rPr>
        <w:t>0万元</w:t>
      </w:r>
      <w:r>
        <w:t>。</w:t>
      </w:r>
    </w:p>
    <w:p>
      <w:pPr>
        <w:pStyle w:val="3"/>
        <w:wordWrap/>
        <w:autoSpaceDE w:val="0"/>
        <w:autoSpaceDN w:val="0"/>
        <w:adjustRightInd/>
        <w:snapToGrid/>
        <w:spacing w:before="0" w:after="0" w:line="600" w:lineRule="exact"/>
        <w:ind w:left="0" w:leftChars="0" w:right="0" w:firstLine="640"/>
        <w:jc w:val="both"/>
        <w:textAlignment w:val="auto"/>
        <w:outlineLvl w:val="9"/>
        <w:rPr>
          <w:rFonts w:hint="eastAsia" w:ascii="楷体" w:eastAsia="楷体"/>
        </w:rPr>
      </w:pPr>
      <w:r>
        <w:rPr>
          <w:spacing w:val="-5"/>
        </w:rPr>
        <w:t xml:space="preserve"> </w:t>
      </w:r>
      <w:r>
        <w:rPr>
          <w:rFonts w:hint="eastAsia" w:ascii="楷体" w:eastAsia="楷体"/>
        </w:rPr>
        <w:t>（二）结构情况</w:t>
      </w:r>
    </w:p>
    <w:p>
      <w:pPr>
        <w:pStyle w:val="3"/>
        <w:wordWrap/>
        <w:autoSpaceDE w:val="0"/>
        <w:autoSpaceDN w:val="0"/>
        <w:adjustRightInd/>
        <w:snapToGrid/>
        <w:spacing w:before="0" w:after="0" w:line="600" w:lineRule="exact"/>
        <w:ind w:left="0" w:leftChars="0" w:right="0" w:firstLine="640"/>
        <w:textAlignment w:val="auto"/>
        <w:outlineLvl w:val="9"/>
      </w:pPr>
      <w:r>
        <w:rPr>
          <w:rFonts w:ascii="Times New Roman" w:eastAsia="Times New Roman"/>
        </w:rPr>
        <w:t xml:space="preserve">2020 </w:t>
      </w:r>
      <w:r>
        <w:rPr>
          <w:spacing w:val="-5"/>
        </w:rPr>
        <w:t>年度一般公共预算财政拨款支出</w:t>
      </w:r>
      <w:r>
        <w:rPr>
          <w:rFonts w:hint="eastAsia" w:ascii="Times New Roman" w:eastAsia="宋体"/>
        </w:rPr>
        <w:t>2312.37</w:t>
      </w:r>
      <w:r>
        <w:t>万元，主要</w:t>
      </w:r>
      <w:r>
        <w:rPr>
          <w:spacing w:val="-7"/>
        </w:rPr>
        <w:t>用于以下方面：</w:t>
      </w:r>
      <w:r>
        <w:rPr>
          <w:spacing w:val="-2"/>
        </w:rPr>
        <w:t>社会保障和就业（</w:t>
      </w:r>
      <w:r>
        <w:rPr>
          <w:rFonts w:hint="eastAsia"/>
          <w:spacing w:val="-2"/>
        </w:rPr>
        <w:t>208</w:t>
      </w:r>
      <w:r>
        <w:rPr>
          <w:spacing w:val="-2"/>
        </w:rPr>
        <w:t>类）</w:t>
      </w:r>
      <w:r>
        <w:rPr>
          <w:spacing w:val="-29"/>
        </w:rPr>
        <w:t>支出</w:t>
      </w:r>
      <w:r>
        <w:rPr>
          <w:rFonts w:hint="eastAsia" w:ascii="Times New Roman" w:eastAsia="宋体"/>
        </w:rPr>
        <w:t>109.85</w:t>
      </w:r>
      <w:r>
        <w:rPr>
          <w:spacing w:val="-16"/>
        </w:rPr>
        <w:t>万元，占</w:t>
      </w:r>
      <w:r>
        <w:rPr>
          <w:rFonts w:hint="eastAsia" w:ascii="Times New Roman" w:eastAsia="宋体"/>
        </w:rPr>
        <w:t>5</w:t>
      </w:r>
      <w:r>
        <w:rPr>
          <w:rFonts w:ascii="Times New Roman" w:eastAsia="Times New Roman"/>
        </w:rPr>
        <w:t>%</w:t>
      </w:r>
      <w:r>
        <w:t>；卫生健康（</w:t>
      </w:r>
      <w:r>
        <w:rPr>
          <w:rFonts w:hint="eastAsia"/>
        </w:rPr>
        <w:t>210</w:t>
      </w:r>
      <w:r>
        <w:t>类）支</w:t>
      </w:r>
      <w:r>
        <w:rPr>
          <w:spacing w:val="-42"/>
        </w:rPr>
        <w:t>出</w:t>
      </w:r>
      <w:r>
        <w:rPr>
          <w:rFonts w:hint="eastAsia" w:ascii="Times New Roman" w:eastAsia="宋体"/>
        </w:rPr>
        <w:t>20.34</w:t>
      </w:r>
      <w:r>
        <w:rPr>
          <w:spacing w:val="-29"/>
        </w:rPr>
        <w:t>万元，占</w:t>
      </w:r>
      <w:r>
        <w:rPr>
          <w:rFonts w:hint="eastAsia" w:ascii="Times New Roman" w:eastAsia="宋体"/>
          <w:spacing w:val="-8"/>
        </w:rPr>
        <w:t>1</w:t>
      </w:r>
      <w:r>
        <w:rPr>
          <w:rFonts w:ascii="Times New Roman" w:eastAsia="Times New Roman"/>
          <w:spacing w:val="-8"/>
        </w:rPr>
        <w:t>%</w:t>
      </w:r>
      <w:r>
        <w:rPr>
          <w:spacing w:val="-14"/>
        </w:rPr>
        <w:t>；</w:t>
      </w:r>
      <w:r>
        <w:rPr>
          <w:rFonts w:hint="eastAsia"/>
          <w:spacing w:val="-14"/>
        </w:rPr>
        <w:t>节能环保（211类）支出86.53万元，占4</w:t>
      </w:r>
      <w:r>
        <w:rPr>
          <w:rFonts w:hint="eastAsia" w:ascii="Times New Roman" w:eastAsia="宋体"/>
          <w:spacing w:val="-8"/>
        </w:rPr>
        <w:t>%</w:t>
      </w:r>
      <w:r>
        <w:rPr>
          <w:rFonts w:hint="eastAsia"/>
          <w:spacing w:val="-14"/>
        </w:rPr>
        <w:t>；城乡社区（212类）支出1431.39万元，占</w:t>
      </w:r>
      <w:r>
        <w:rPr>
          <w:rFonts w:hint="eastAsia" w:ascii="Times New Roman" w:eastAsia="宋体"/>
          <w:spacing w:val="-8"/>
        </w:rPr>
        <w:t>61.5%</w:t>
      </w:r>
      <w:r>
        <w:rPr>
          <w:rFonts w:hint="eastAsia"/>
          <w:spacing w:val="-14"/>
        </w:rPr>
        <w:t>；农林水（213类）支出38.37万元，占</w:t>
      </w:r>
      <w:r>
        <w:rPr>
          <w:rFonts w:hint="eastAsia" w:ascii="Times New Roman" w:eastAsia="宋体"/>
          <w:spacing w:val="-8"/>
        </w:rPr>
        <w:t>2%</w:t>
      </w:r>
      <w:r>
        <w:rPr>
          <w:rFonts w:hint="eastAsia"/>
          <w:spacing w:val="-14"/>
        </w:rPr>
        <w:t>；交通运输（214类）支出93.9万元，占</w:t>
      </w:r>
      <w:r>
        <w:rPr>
          <w:rFonts w:hint="eastAsia" w:ascii="Times New Roman" w:eastAsia="宋体"/>
          <w:spacing w:val="-8"/>
        </w:rPr>
        <w:t>4%</w:t>
      </w:r>
      <w:r>
        <w:rPr>
          <w:rFonts w:hint="eastAsia"/>
          <w:spacing w:val="-14"/>
        </w:rPr>
        <w:t>；商业服务等（216类）支出4.08万元</w:t>
      </w:r>
      <w:r>
        <w:rPr>
          <w:rFonts w:hint="eastAsia" w:ascii="Times New Roman" w:eastAsia="宋体"/>
          <w:spacing w:val="-8"/>
        </w:rPr>
        <w:t>0.5%</w:t>
      </w:r>
      <w:r>
        <w:rPr>
          <w:spacing w:val="-14"/>
        </w:rPr>
        <w:t>住房保障</w:t>
      </w:r>
      <w:r>
        <w:t>（类</w:t>
      </w:r>
      <w:r>
        <w:rPr>
          <w:spacing w:val="-55"/>
        </w:rPr>
        <w:t>）</w:t>
      </w:r>
      <w:r>
        <w:rPr>
          <w:spacing w:val="-28"/>
        </w:rPr>
        <w:t>支出</w:t>
      </w:r>
      <w:r>
        <w:rPr>
          <w:rFonts w:hint="eastAsia" w:ascii="Times New Roman" w:eastAsia="宋体"/>
        </w:rPr>
        <w:t>77.92</w:t>
      </w:r>
      <w:r>
        <w:t xml:space="preserve">万元， </w:t>
      </w:r>
      <w:r>
        <w:rPr>
          <w:spacing w:val="-40"/>
        </w:rPr>
        <w:t>占</w:t>
      </w:r>
      <w:r>
        <w:rPr>
          <w:rFonts w:hint="eastAsia" w:ascii="Times New Roman" w:eastAsia="宋体"/>
        </w:rPr>
        <w:t>3</w:t>
      </w:r>
      <w:r>
        <w:rPr>
          <w:rFonts w:ascii="Times New Roman" w:eastAsia="Times New Roman"/>
        </w:rPr>
        <w:t>%</w:t>
      </w:r>
      <w:r>
        <w:t>；</w:t>
      </w:r>
      <w:r>
        <w:rPr>
          <w:rFonts w:hint="eastAsia"/>
        </w:rPr>
        <w:t>抗疫特别国债安排的支出</w:t>
      </w:r>
      <w:r>
        <w:t>（</w:t>
      </w:r>
      <w:r>
        <w:rPr>
          <w:rFonts w:hint="eastAsia"/>
        </w:rPr>
        <w:t>234</w:t>
      </w:r>
      <w:r>
        <w:t>类）</w:t>
      </w:r>
      <w:r>
        <w:rPr>
          <w:spacing w:val="-28"/>
        </w:rPr>
        <w:t>支出</w:t>
      </w:r>
      <w:r>
        <w:rPr>
          <w:rFonts w:hint="eastAsia" w:ascii="Times New Roman" w:eastAsia="宋体"/>
        </w:rPr>
        <w:t>450</w:t>
      </w:r>
      <w:r>
        <w:rPr>
          <w:spacing w:val="-16"/>
        </w:rPr>
        <w:t>万元，占</w:t>
      </w:r>
      <w:r>
        <w:rPr>
          <w:rFonts w:hint="eastAsia" w:ascii="Times New Roman" w:eastAsia="宋体"/>
        </w:rPr>
        <w:t>19</w:t>
      </w:r>
      <w:r>
        <w:rPr>
          <w:rFonts w:ascii="Times New Roman" w:eastAsia="Times New Roman"/>
        </w:rPr>
        <w:t>%</w:t>
      </w:r>
      <w:r>
        <w:t>。</w:t>
      </w:r>
    </w:p>
    <w:p>
      <w:pPr>
        <w:pStyle w:val="3"/>
        <w:wordWrap/>
        <w:autoSpaceDE w:val="0"/>
        <w:autoSpaceDN w:val="0"/>
        <w:adjustRightInd/>
        <w:snapToGrid/>
        <w:spacing w:before="0" w:after="0" w:line="600" w:lineRule="exact"/>
        <w:ind w:left="0" w:leftChars="0" w:right="0"/>
        <w:textAlignment w:val="auto"/>
        <w:outlineLvl w:val="9"/>
        <w:rPr>
          <w:rFonts w:hint="eastAsia" w:ascii="楷体" w:eastAsia="楷体"/>
        </w:rPr>
      </w:pPr>
      <w:r>
        <w:rPr>
          <w:rFonts w:hint="eastAsia" w:ascii="楷体" w:eastAsia="楷体"/>
        </w:rPr>
        <w:t>（三）具体情况</w:t>
      </w:r>
    </w:p>
    <w:p>
      <w:pPr>
        <w:pStyle w:val="3"/>
        <w:wordWrap/>
        <w:autoSpaceDE w:val="0"/>
        <w:autoSpaceDN w:val="0"/>
        <w:adjustRightInd/>
        <w:snapToGrid/>
        <w:spacing w:before="0" w:after="0" w:line="600" w:lineRule="exact"/>
        <w:ind w:left="0" w:leftChars="0" w:right="0" w:firstLine="640"/>
        <w:jc w:val="both"/>
        <w:textAlignment w:val="auto"/>
        <w:outlineLvl w:val="9"/>
      </w:pPr>
      <w:r>
        <w:rPr>
          <w:rFonts w:ascii="Times New Roman" w:eastAsia="Times New Roman"/>
        </w:rPr>
        <w:t>2020</w:t>
      </w:r>
      <w:r>
        <w:rPr>
          <w:rFonts w:ascii="Times New Roman" w:eastAsia="Times New Roman"/>
          <w:spacing w:val="-46"/>
        </w:rPr>
        <w:t xml:space="preserve"> </w:t>
      </w:r>
      <w:r>
        <w:rPr>
          <w:spacing w:val="2"/>
        </w:rPr>
        <w:t>年度一般公共预算财政拨款支出年初预算为</w:t>
      </w:r>
      <w:r>
        <w:rPr>
          <w:rFonts w:hint="eastAsia" w:ascii="Times New Roman" w:eastAsia="宋体"/>
          <w:lang w:val="en-US" w:eastAsia="zh-CN"/>
        </w:rPr>
        <w:t>2679.98</w:t>
      </w:r>
      <w:r>
        <w:t>万</w:t>
      </w:r>
      <w:r>
        <w:rPr>
          <w:spacing w:val="3"/>
        </w:rPr>
        <w:t>元，支出决算为</w:t>
      </w:r>
      <w:r>
        <w:rPr>
          <w:rFonts w:hint="eastAsia" w:ascii="Times New Roman" w:eastAsia="宋体"/>
        </w:rPr>
        <w:t>2312.37</w:t>
      </w:r>
      <w:r>
        <w:rPr>
          <w:spacing w:val="-4"/>
        </w:rPr>
        <w:t>万元，完成年初预算的</w:t>
      </w:r>
      <w:r>
        <w:rPr>
          <w:rFonts w:hint="eastAsia" w:ascii="Times New Roman" w:eastAsia="宋体"/>
          <w:lang w:val="en-US" w:eastAsia="zh-CN"/>
        </w:rPr>
        <w:t>86</w:t>
      </w:r>
      <w:r>
        <w:rPr>
          <w:rFonts w:ascii="Times New Roman" w:eastAsia="Times New Roman"/>
        </w:rPr>
        <w:t>%</w:t>
      </w:r>
      <w:r>
        <w:rPr>
          <w:spacing w:val="3"/>
        </w:rPr>
        <w:t>。决</w:t>
      </w:r>
      <w:r>
        <w:rPr>
          <w:spacing w:val="-4"/>
        </w:rPr>
        <w:t xml:space="preserve">算数与年初预算数存在差异的主要原因：一是 </w:t>
      </w:r>
      <w:r>
        <w:rPr>
          <w:rFonts w:ascii="Times New Roman" w:eastAsia="Times New Roman"/>
        </w:rPr>
        <w:t>2020</w:t>
      </w:r>
      <w:r>
        <w:rPr>
          <w:rFonts w:ascii="Times New Roman" w:eastAsia="Times New Roman"/>
          <w:spacing w:val="9"/>
        </w:rPr>
        <w:t xml:space="preserve"> </w:t>
      </w:r>
      <w:r>
        <w:t>年新冠肺炎</w:t>
      </w:r>
      <w:r>
        <w:rPr>
          <w:spacing w:val="-11"/>
        </w:rPr>
        <w:t>疫情突发，</w:t>
      </w:r>
      <w:r>
        <w:rPr>
          <w:rFonts w:hint="eastAsia"/>
          <w:spacing w:val="-11"/>
          <w:lang w:eastAsia="zh-CN"/>
        </w:rPr>
        <w:t>能源节约利用</w:t>
      </w:r>
      <w:r>
        <w:rPr>
          <w:spacing w:val="-11"/>
        </w:rPr>
        <w:t>专项资金</w:t>
      </w:r>
      <w:r>
        <w:rPr>
          <w:rFonts w:hint="eastAsia"/>
          <w:spacing w:val="-11"/>
          <w:lang w:eastAsia="zh-CN"/>
        </w:rPr>
        <w:t>、国三柴油车补助资金未能</w:t>
      </w:r>
      <w:r>
        <w:rPr>
          <w:spacing w:val="-8"/>
          <w:w w:val="95"/>
        </w:rPr>
        <w:t>支出</w:t>
      </w:r>
      <w:r>
        <w:rPr>
          <w:rFonts w:hint="eastAsia"/>
          <w:spacing w:val="-8"/>
          <w:w w:val="95"/>
          <w:lang w:eastAsia="zh-CN"/>
        </w:rPr>
        <w:t>。</w:t>
      </w:r>
    </w:p>
    <w:p>
      <w:pPr>
        <w:pStyle w:val="9"/>
        <w:numPr>
          <w:ilvl w:val="2"/>
          <w:numId w:val="3"/>
        </w:numPr>
        <w:tabs>
          <w:tab w:val="left" w:pos="1231"/>
        </w:tabs>
        <w:wordWrap/>
        <w:autoSpaceDE w:val="0"/>
        <w:autoSpaceDN w:val="0"/>
        <w:adjustRightInd/>
        <w:snapToGrid/>
        <w:spacing w:before="0" w:after="0" w:line="600" w:lineRule="exact"/>
        <w:ind w:left="0" w:leftChars="0" w:right="0" w:firstLine="640"/>
        <w:textAlignment w:val="auto"/>
        <w:outlineLvl w:val="9"/>
        <w:rPr>
          <w:sz w:val="32"/>
        </w:rPr>
      </w:pPr>
      <w:r>
        <w:rPr>
          <w:spacing w:val="-4"/>
          <w:sz w:val="32"/>
        </w:rPr>
        <w:t>社会保障和就业支出</w:t>
      </w:r>
      <w:r>
        <w:rPr>
          <w:sz w:val="32"/>
        </w:rPr>
        <w:t>（</w:t>
      </w:r>
      <w:r>
        <w:rPr>
          <w:rFonts w:hint="eastAsia"/>
          <w:sz w:val="32"/>
          <w:lang w:val="en-US" w:eastAsia="zh-CN"/>
        </w:rPr>
        <w:t>208</w:t>
      </w:r>
      <w:r>
        <w:rPr>
          <w:sz w:val="32"/>
        </w:rPr>
        <w:t>类</w:t>
      </w:r>
      <w:r>
        <w:rPr>
          <w:spacing w:val="-29"/>
          <w:sz w:val="32"/>
        </w:rPr>
        <w:t>）</w:t>
      </w:r>
      <w:r>
        <w:rPr>
          <w:spacing w:val="-3"/>
          <w:sz w:val="32"/>
        </w:rPr>
        <w:t>行政事业单位养老支出</w:t>
      </w:r>
      <w:r>
        <w:rPr>
          <w:sz w:val="32"/>
        </w:rPr>
        <w:t>（</w:t>
      </w:r>
      <w:r>
        <w:rPr>
          <w:rFonts w:hint="eastAsia"/>
          <w:sz w:val="32"/>
          <w:lang w:val="en-US" w:eastAsia="zh-CN"/>
        </w:rPr>
        <w:t>05</w:t>
      </w:r>
      <w:r>
        <w:rPr>
          <w:sz w:val="32"/>
        </w:rPr>
        <w:t>款）</w:t>
      </w:r>
      <w:r>
        <w:rPr>
          <w:spacing w:val="-19"/>
          <w:sz w:val="32"/>
        </w:rPr>
        <w:t>行政单位离退休</w:t>
      </w:r>
      <w:r>
        <w:rPr>
          <w:sz w:val="32"/>
        </w:rPr>
        <w:t>（</w:t>
      </w:r>
      <w:r>
        <w:rPr>
          <w:rFonts w:hint="eastAsia"/>
          <w:sz w:val="32"/>
          <w:lang w:val="en-US" w:eastAsia="zh-CN"/>
        </w:rPr>
        <w:t>99</w:t>
      </w:r>
      <w:r>
        <w:rPr>
          <w:sz w:val="32"/>
        </w:rPr>
        <w:t>项</w:t>
      </w:r>
      <w:r>
        <w:rPr>
          <w:spacing w:val="-127"/>
          <w:sz w:val="32"/>
        </w:rPr>
        <w:t>）</w:t>
      </w:r>
      <w:r>
        <w:rPr>
          <w:spacing w:val="-32"/>
          <w:sz w:val="32"/>
        </w:rPr>
        <w:t>。年初预算为</w:t>
      </w:r>
      <w:r>
        <w:rPr>
          <w:rFonts w:hint="eastAsia"/>
          <w:spacing w:val="-32"/>
          <w:sz w:val="32"/>
          <w:lang w:val="en-US" w:eastAsia="zh-CN"/>
        </w:rPr>
        <w:t>80.01</w:t>
      </w:r>
      <w:r>
        <w:rPr>
          <w:spacing w:val="-18"/>
          <w:sz w:val="32"/>
        </w:rPr>
        <w:t>万元，支出决算为</w:t>
      </w:r>
      <w:r>
        <w:rPr>
          <w:rFonts w:hint="eastAsia" w:ascii="Times New Roman" w:eastAsia="宋体"/>
          <w:spacing w:val="-18"/>
          <w:sz w:val="32"/>
          <w:lang w:val="en-US" w:eastAsia="zh-CN"/>
        </w:rPr>
        <w:t>80.01</w:t>
      </w:r>
      <w:r>
        <w:rPr>
          <w:spacing w:val="-16"/>
          <w:sz w:val="32"/>
        </w:rPr>
        <w:t>万元，完成年初预算的</w:t>
      </w:r>
      <w:r>
        <w:rPr>
          <w:rFonts w:hint="eastAsia" w:ascii="Times New Roman" w:eastAsia="宋体"/>
          <w:sz w:val="32"/>
          <w:lang w:val="en-US" w:eastAsia="zh-CN"/>
        </w:rPr>
        <w:t>100</w:t>
      </w:r>
      <w:r>
        <w:rPr>
          <w:rFonts w:ascii="Times New Roman" w:eastAsia="Times New Roman"/>
          <w:sz w:val="32"/>
        </w:rPr>
        <w:t>%</w:t>
      </w:r>
      <w:r>
        <w:rPr>
          <w:spacing w:val="-6"/>
          <w:sz w:val="32"/>
        </w:rPr>
        <w:t>。决算数与年初预算数</w:t>
      </w:r>
      <w:r>
        <w:rPr>
          <w:rFonts w:hint="eastAsia"/>
          <w:spacing w:val="-6"/>
          <w:sz w:val="32"/>
          <w:lang w:eastAsia="zh-CN"/>
        </w:rPr>
        <w:t>无</w:t>
      </w:r>
      <w:r>
        <w:rPr>
          <w:spacing w:val="-9"/>
          <w:sz w:val="32"/>
        </w:rPr>
        <w:t>差异</w:t>
      </w:r>
      <w:r>
        <w:rPr>
          <w:sz w:val="32"/>
        </w:rPr>
        <w:t>。</w:t>
      </w:r>
    </w:p>
    <w:p>
      <w:pPr>
        <w:pStyle w:val="9"/>
        <w:numPr>
          <w:ilvl w:val="2"/>
          <w:numId w:val="3"/>
        </w:numPr>
        <w:tabs>
          <w:tab w:val="left" w:pos="1231"/>
        </w:tabs>
        <w:wordWrap/>
        <w:autoSpaceDE w:val="0"/>
        <w:autoSpaceDN w:val="0"/>
        <w:adjustRightInd/>
        <w:snapToGrid/>
        <w:spacing w:before="0" w:after="0" w:line="600" w:lineRule="exact"/>
        <w:ind w:left="0" w:leftChars="0" w:right="0" w:firstLine="640"/>
        <w:textAlignment w:val="auto"/>
        <w:outlineLvl w:val="9"/>
        <w:rPr>
          <w:sz w:val="32"/>
        </w:rPr>
      </w:pPr>
      <w:r>
        <w:rPr>
          <w:spacing w:val="-4"/>
          <w:sz w:val="32"/>
        </w:rPr>
        <w:t>社会保障和就业支出</w:t>
      </w:r>
      <w:r>
        <w:rPr>
          <w:sz w:val="32"/>
        </w:rPr>
        <w:t>（</w:t>
      </w:r>
      <w:r>
        <w:rPr>
          <w:rFonts w:hint="eastAsia"/>
          <w:sz w:val="32"/>
          <w:lang w:val="en-US" w:eastAsia="zh-CN"/>
        </w:rPr>
        <w:t>208</w:t>
      </w:r>
      <w:r>
        <w:rPr>
          <w:sz w:val="32"/>
        </w:rPr>
        <w:t>类</w:t>
      </w:r>
      <w:r>
        <w:rPr>
          <w:spacing w:val="-29"/>
          <w:sz w:val="32"/>
        </w:rPr>
        <w:t>）</w:t>
      </w:r>
      <w:r>
        <w:rPr>
          <w:rFonts w:hint="eastAsia"/>
          <w:spacing w:val="-29"/>
          <w:sz w:val="32"/>
          <w:lang w:eastAsia="zh-CN"/>
        </w:rPr>
        <w:t>机关事业单位养老</w:t>
      </w:r>
      <w:r>
        <w:rPr>
          <w:spacing w:val="-3"/>
          <w:sz w:val="32"/>
        </w:rPr>
        <w:t>支出</w:t>
      </w:r>
      <w:r>
        <w:rPr>
          <w:sz w:val="32"/>
        </w:rPr>
        <w:t>（</w:t>
      </w:r>
      <w:r>
        <w:rPr>
          <w:rFonts w:hint="eastAsia"/>
          <w:sz w:val="32"/>
          <w:lang w:val="en-US" w:eastAsia="zh-CN"/>
        </w:rPr>
        <w:t>05</w:t>
      </w:r>
      <w:r>
        <w:rPr>
          <w:sz w:val="32"/>
        </w:rPr>
        <w:t>款）</w:t>
      </w:r>
      <w:r>
        <w:rPr>
          <w:spacing w:val="-19"/>
          <w:sz w:val="32"/>
        </w:rPr>
        <w:t>行政单位</w:t>
      </w:r>
      <w:r>
        <w:rPr>
          <w:rFonts w:hint="eastAsia"/>
          <w:spacing w:val="-19"/>
          <w:sz w:val="32"/>
          <w:lang w:eastAsia="zh-CN"/>
        </w:rPr>
        <w:t>养老保险缴费</w:t>
      </w:r>
      <w:r>
        <w:rPr>
          <w:sz w:val="32"/>
        </w:rPr>
        <w:t>（</w:t>
      </w:r>
      <w:r>
        <w:rPr>
          <w:rFonts w:hint="eastAsia"/>
          <w:sz w:val="32"/>
          <w:lang w:val="en-US" w:eastAsia="zh-CN"/>
        </w:rPr>
        <w:t>05</w:t>
      </w:r>
      <w:r>
        <w:rPr>
          <w:sz w:val="32"/>
        </w:rPr>
        <w:t>项</w:t>
      </w:r>
      <w:r>
        <w:rPr>
          <w:spacing w:val="-127"/>
          <w:sz w:val="32"/>
        </w:rPr>
        <w:t>）</w:t>
      </w:r>
      <w:r>
        <w:rPr>
          <w:spacing w:val="-32"/>
          <w:sz w:val="32"/>
        </w:rPr>
        <w:t>。年初预算为</w:t>
      </w:r>
      <w:r>
        <w:rPr>
          <w:rFonts w:hint="eastAsia"/>
          <w:spacing w:val="-32"/>
          <w:sz w:val="32"/>
          <w:lang w:val="en-US" w:eastAsia="zh-CN"/>
        </w:rPr>
        <w:t>25.52</w:t>
      </w:r>
      <w:r>
        <w:rPr>
          <w:spacing w:val="-18"/>
          <w:sz w:val="32"/>
        </w:rPr>
        <w:t>万元，支出决算为</w:t>
      </w:r>
      <w:r>
        <w:rPr>
          <w:rFonts w:hint="eastAsia" w:ascii="Times New Roman" w:eastAsia="宋体"/>
          <w:spacing w:val="-18"/>
          <w:sz w:val="32"/>
          <w:lang w:val="en-US" w:eastAsia="zh-CN"/>
        </w:rPr>
        <w:t>24.02</w:t>
      </w:r>
      <w:r>
        <w:rPr>
          <w:spacing w:val="-16"/>
          <w:sz w:val="32"/>
        </w:rPr>
        <w:t>万元，完成年初预算的</w:t>
      </w:r>
      <w:r>
        <w:rPr>
          <w:rFonts w:hint="eastAsia" w:ascii="Times New Roman" w:eastAsia="宋体"/>
          <w:sz w:val="32"/>
          <w:lang w:val="en-US" w:eastAsia="zh-CN"/>
        </w:rPr>
        <w:t>94</w:t>
      </w:r>
      <w:r>
        <w:rPr>
          <w:rFonts w:ascii="Times New Roman" w:eastAsia="Times New Roman"/>
          <w:sz w:val="32"/>
        </w:rPr>
        <w:t>%</w:t>
      </w:r>
      <w:r>
        <w:rPr>
          <w:spacing w:val="-6"/>
          <w:sz w:val="32"/>
        </w:rPr>
        <w:t>。决算数与年初预算数存在</w:t>
      </w:r>
      <w:r>
        <w:rPr>
          <w:spacing w:val="-9"/>
          <w:sz w:val="32"/>
        </w:rPr>
        <w:t>差异的主要原因</w:t>
      </w:r>
      <w:r>
        <w:rPr>
          <w:rFonts w:hint="eastAsia"/>
          <w:spacing w:val="-9"/>
          <w:sz w:val="32"/>
          <w:lang w:eastAsia="zh-CN"/>
        </w:rPr>
        <w:t>人员调动</w:t>
      </w:r>
      <w:r>
        <w:rPr>
          <w:sz w:val="32"/>
        </w:rPr>
        <w:t>。</w:t>
      </w:r>
    </w:p>
    <w:p>
      <w:pPr>
        <w:pStyle w:val="9"/>
        <w:numPr>
          <w:ilvl w:val="2"/>
          <w:numId w:val="3"/>
        </w:numPr>
        <w:tabs>
          <w:tab w:val="left" w:pos="1231"/>
        </w:tabs>
        <w:wordWrap/>
        <w:autoSpaceDE w:val="0"/>
        <w:autoSpaceDN w:val="0"/>
        <w:adjustRightInd/>
        <w:snapToGrid/>
        <w:spacing w:before="0" w:after="0" w:line="600" w:lineRule="exact"/>
        <w:ind w:left="0" w:leftChars="0" w:right="0" w:firstLine="640"/>
        <w:textAlignment w:val="auto"/>
        <w:outlineLvl w:val="9"/>
        <w:rPr>
          <w:sz w:val="32"/>
        </w:rPr>
      </w:pPr>
      <w:r>
        <w:rPr>
          <w:spacing w:val="-4"/>
          <w:sz w:val="32"/>
        </w:rPr>
        <w:t>社会保障和就业支出</w:t>
      </w:r>
      <w:r>
        <w:rPr>
          <w:sz w:val="32"/>
        </w:rPr>
        <w:t>（</w:t>
      </w:r>
      <w:r>
        <w:rPr>
          <w:rFonts w:hint="eastAsia"/>
          <w:sz w:val="32"/>
          <w:lang w:val="en-US" w:eastAsia="zh-CN"/>
        </w:rPr>
        <w:t>208</w:t>
      </w:r>
      <w:r>
        <w:rPr>
          <w:sz w:val="32"/>
        </w:rPr>
        <w:t>类</w:t>
      </w:r>
      <w:r>
        <w:rPr>
          <w:spacing w:val="-29"/>
          <w:sz w:val="32"/>
        </w:rPr>
        <w:t>）</w:t>
      </w:r>
      <w:r>
        <w:rPr>
          <w:spacing w:val="-3"/>
          <w:sz w:val="32"/>
        </w:rPr>
        <w:t>行政事业</w:t>
      </w:r>
      <w:r>
        <w:rPr>
          <w:rFonts w:hint="eastAsia"/>
          <w:spacing w:val="-3"/>
          <w:sz w:val="32"/>
          <w:lang w:eastAsia="zh-CN"/>
        </w:rPr>
        <w:t>职业年金</w:t>
      </w:r>
      <w:r>
        <w:rPr>
          <w:spacing w:val="-3"/>
          <w:sz w:val="32"/>
        </w:rPr>
        <w:t>支出</w:t>
      </w:r>
      <w:r>
        <w:rPr>
          <w:sz w:val="32"/>
        </w:rPr>
        <w:t>（</w:t>
      </w:r>
      <w:r>
        <w:rPr>
          <w:rFonts w:hint="eastAsia"/>
          <w:sz w:val="32"/>
          <w:lang w:val="en-US" w:eastAsia="zh-CN"/>
        </w:rPr>
        <w:t>05</w:t>
      </w:r>
      <w:r>
        <w:rPr>
          <w:sz w:val="32"/>
        </w:rPr>
        <w:t>款）</w:t>
      </w:r>
      <w:r>
        <w:rPr>
          <w:spacing w:val="-19"/>
          <w:sz w:val="32"/>
        </w:rPr>
        <w:t>行政单位</w:t>
      </w:r>
      <w:r>
        <w:rPr>
          <w:rFonts w:hint="eastAsia"/>
          <w:spacing w:val="-19"/>
          <w:sz w:val="32"/>
          <w:lang w:eastAsia="zh-CN"/>
        </w:rPr>
        <w:t>职业年金缴费</w:t>
      </w:r>
      <w:r>
        <w:rPr>
          <w:sz w:val="32"/>
        </w:rPr>
        <w:t>（</w:t>
      </w:r>
      <w:r>
        <w:rPr>
          <w:rFonts w:hint="eastAsia"/>
          <w:sz w:val="32"/>
          <w:lang w:val="en-US" w:eastAsia="zh-CN"/>
        </w:rPr>
        <w:t>06</w:t>
      </w:r>
      <w:r>
        <w:rPr>
          <w:sz w:val="32"/>
        </w:rPr>
        <w:t>项</w:t>
      </w:r>
      <w:r>
        <w:rPr>
          <w:spacing w:val="-127"/>
          <w:sz w:val="32"/>
        </w:rPr>
        <w:t>）</w:t>
      </w:r>
      <w:r>
        <w:rPr>
          <w:spacing w:val="-32"/>
          <w:sz w:val="32"/>
        </w:rPr>
        <w:t xml:space="preserve">。年初预算为 </w:t>
      </w:r>
      <w:r>
        <w:rPr>
          <w:rFonts w:hint="eastAsia" w:ascii="Times New Roman" w:eastAsia="宋体"/>
          <w:sz w:val="32"/>
          <w:lang w:val="en-US" w:eastAsia="zh-CN"/>
        </w:rPr>
        <w:t>4.17</w:t>
      </w:r>
      <w:r>
        <w:rPr>
          <w:spacing w:val="-18"/>
          <w:sz w:val="32"/>
        </w:rPr>
        <w:t>万元，支出决算为</w:t>
      </w:r>
      <w:r>
        <w:rPr>
          <w:rFonts w:hint="eastAsia" w:ascii="Times New Roman" w:eastAsia="宋体"/>
          <w:spacing w:val="-18"/>
          <w:sz w:val="32"/>
          <w:lang w:val="en-US" w:eastAsia="zh-CN"/>
        </w:rPr>
        <w:t>3.94</w:t>
      </w:r>
      <w:r>
        <w:rPr>
          <w:spacing w:val="-16"/>
          <w:sz w:val="32"/>
        </w:rPr>
        <w:t>万元，完成年初预算的</w:t>
      </w:r>
      <w:r>
        <w:rPr>
          <w:rFonts w:hint="eastAsia" w:ascii="Times New Roman" w:eastAsia="宋体"/>
          <w:sz w:val="32"/>
          <w:lang w:val="en-US" w:eastAsia="zh-CN"/>
        </w:rPr>
        <w:t>94</w:t>
      </w:r>
      <w:r>
        <w:rPr>
          <w:rFonts w:ascii="Times New Roman" w:eastAsia="Times New Roman"/>
          <w:sz w:val="32"/>
        </w:rPr>
        <w:t>%</w:t>
      </w:r>
      <w:r>
        <w:rPr>
          <w:spacing w:val="-6"/>
          <w:sz w:val="32"/>
        </w:rPr>
        <w:t>。决算数与年初预算数存在</w:t>
      </w:r>
      <w:r>
        <w:rPr>
          <w:spacing w:val="-9"/>
          <w:sz w:val="32"/>
        </w:rPr>
        <w:t>差异的主要原因</w:t>
      </w:r>
      <w:r>
        <w:rPr>
          <w:rFonts w:hint="eastAsia"/>
          <w:spacing w:val="-9"/>
          <w:sz w:val="32"/>
          <w:lang w:eastAsia="zh-CN"/>
        </w:rPr>
        <w:t>人员调动</w:t>
      </w:r>
      <w:r>
        <w:rPr>
          <w:sz w:val="32"/>
        </w:rPr>
        <w:t>。</w:t>
      </w:r>
    </w:p>
    <w:p>
      <w:pPr>
        <w:pStyle w:val="9"/>
        <w:numPr>
          <w:ilvl w:val="2"/>
          <w:numId w:val="3"/>
        </w:numPr>
        <w:tabs>
          <w:tab w:val="left" w:pos="1231"/>
        </w:tabs>
        <w:wordWrap/>
        <w:autoSpaceDE w:val="0"/>
        <w:autoSpaceDN w:val="0"/>
        <w:adjustRightInd/>
        <w:snapToGrid/>
        <w:spacing w:before="0" w:after="0" w:line="600" w:lineRule="exact"/>
        <w:ind w:left="0" w:leftChars="0" w:right="0" w:firstLine="640"/>
        <w:textAlignment w:val="auto"/>
        <w:outlineLvl w:val="9"/>
        <w:rPr>
          <w:sz w:val="32"/>
        </w:rPr>
      </w:pPr>
      <w:r>
        <w:rPr>
          <w:spacing w:val="-4"/>
          <w:sz w:val="32"/>
        </w:rPr>
        <w:t>社会保障和就业支出</w:t>
      </w:r>
      <w:r>
        <w:rPr>
          <w:sz w:val="32"/>
        </w:rPr>
        <w:t>（</w:t>
      </w:r>
      <w:r>
        <w:rPr>
          <w:rFonts w:hint="eastAsia"/>
          <w:sz w:val="32"/>
          <w:lang w:val="en-US" w:eastAsia="zh-CN"/>
        </w:rPr>
        <w:t>208</w:t>
      </w:r>
      <w:r>
        <w:rPr>
          <w:sz w:val="32"/>
        </w:rPr>
        <w:t>类</w:t>
      </w:r>
      <w:r>
        <w:rPr>
          <w:spacing w:val="-29"/>
          <w:sz w:val="32"/>
        </w:rPr>
        <w:t>）</w:t>
      </w:r>
      <w:r>
        <w:rPr>
          <w:rFonts w:hint="eastAsia"/>
          <w:spacing w:val="-3"/>
          <w:sz w:val="32"/>
          <w:lang w:eastAsia="zh-CN"/>
        </w:rPr>
        <w:t>就业补助</w:t>
      </w:r>
      <w:r>
        <w:rPr>
          <w:spacing w:val="-3"/>
          <w:sz w:val="32"/>
        </w:rPr>
        <w:t>支出</w:t>
      </w:r>
      <w:r>
        <w:rPr>
          <w:sz w:val="32"/>
        </w:rPr>
        <w:t>（</w:t>
      </w:r>
      <w:r>
        <w:rPr>
          <w:rFonts w:hint="eastAsia"/>
          <w:sz w:val="32"/>
          <w:lang w:val="en-US" w:eastAsia="zh-CN"/>
        </w:rPr>
        <w:t>07</w:t>
      </w:r>
      <w:r>
        <w:rPr>
          <w:sz w:val="32"/>
        </w:rPr>
        <w:t>款）</w:t>
      </w:r>
      <w:r>
        <w:rPr>
          <w:rFonts w:hint="eastAsia"/>
          <w:spacing w:val="-19"/>
          <w:sz w:val="32"/>
          <w:lang w:eastAsia="zh-CN"/>
        </w:rPr>
        <w:t>公益岗位补助支出</w:t>
      </w:r>
      <w:r>
        <w:rPr>
          <w:sz w:val="32"/>
        </w:rPr>
        <w:t>（</w:t>
      </w:r>
      <w:r>
        <w:rPr>
          <w:rFonts w:hint="eastAsia"/>
          <w:sz w:val="32"/>
          <w:lang w:val="en-US" w:eastAsia="zh-CN"/>
        </w:rPr>
        <w:t>05</w:t>
      </w:r>
      <w:r>
        <w:rPr>
          <w:sz w:val="32"/>
        </w:rPr>
        <w:t>项</w:t>
      </w:r>
      <w:r>
        <w:rPr>
          <w:spacing w:val="-127"/>
          <w:sz w:val="32"/>
        </w:rPr>
        <w:t>）</w:t>
      </w:r>
      <w:r>
        <w:rPr>
          <w:spacing w:val="-32"/>
          <w:sz w:val="32"/>
        </w:rPr>
        <w:t xml:space="preserve">。年初预算为 </w:t>
      </w:r>
      <w:r>
        <w:rPr>
          <w:rFonts w:hint="eastAsia" w:ascii="Times New Roman" w:eastAsia="宋体"/>
          <w:sz w:val="32"/>
          <w:lang w:val="en-US" w:eastAsia="zh-CN"/>
        </w:rPr>
        <w:t>2.95</w:t>
      </w:r>
      <w:r>
        <w:rPr>
          <w:spacing w:val="-18"/>
          <w:sz w:val="32"/>
        </w:rPr>
        <w:t>万元，支出决算为</w:t>
      </w:r>
      <w:r>
        <w:rPr>
          <w:rFonts w:hint="eastAsia" w:ascii="Times New Roman" w:eastAsia="宋体"/>
          <w:spacing w:val="-18"/>
          <w:sz w:val="32"/>
          <w:lang w:val="en-US" w:eastAsia="zh-CN"/>
        </w:rPr>
        <w:t>1.87</w:t>
      </w:r>
      <w:r>
        <w:rPr>
          <w:spacing w:val="-16"/>
          <w:sz w:val="32"/>
        </w:rPr>
        <w:t>万元，完成年初预算的</w:t>
      </w:r>
      <w:r>
        <w:rPr>
          <w:rFonts w:hint="eastAsia" w:ascii="Times New Roman" w:eastAsia="宋体"/>
          <w:sz w:val="32"/>
          <w:lang w:val="en-US" w:eastAsia="zh-CN"/>
        </w:rPr>
        <w:t>63</w:t>
      </w:r>
      <w:r>
        <w:rPr>
          <w:rFonts w:ascii="Times New Roman" w:eastAsia="Times New Roman"/>
          <w:sz w:val="32"/>
        </w:rPr>
        <w:t>%</w:t>
      </w:r>
      <w:r>
        <w:rPr>
          <w:spacing w:val="-6"/>
          <w:sz w:val="32"/>
        </w:rPr>
        <w:t>。决算数与年初预算数存在</w:t>
      </w:r>
      <w:r>
        <w:rPr>
          <w:spacing w:val="-9"/>
          <w:sz w:val="32"/>
        </w:rPr>
        <w:t>差异的主要原因</w:t>
      </w:r>
      <w:r>
        <w:rPr>
          <w:rFonts w:hint="eastAsia"/>
          <w:spacing w:val="-9"/>
          <w:sz w:val="32"/>
          <w:lang w:eastAsia="zh-CN"/>
        </w:rPr>
        <w:t>直达资金拨付</w:t>
      </w:r>
      <w:r>
        <w:rPr>
          <w:sz w:val="32"/>
        </w:rPr>
        <w:t>。</w:t>
      </w:r>
    </w:p>
    <w:p>
      <w:pPr>
        <w:pStyle w:val="9"/>
        <w:numPr>
          <w:ilvl w:val="2"/>
          <w:numId w:val="3"/>
        </w:numPr>
        <w:tabs>
          <w:tab w:val="left" w:pos="1231"/>
        </w:tabs>
        <w:wordWrap/>
        <w:autoSpaceDE w:val="0"/>
        <w:autoSpaceDN w:val="0"/>
        <w:adjustRightInd/>
        <w:snapToGrid/>
        <w:spacing w:before="0" w:after="0" w:line="600" w:lineRule="exact"/>
        <w:ind w:left="0" w:leftChars="0" w:right="0" w:firstLine="640"/>
        <w:textAlignment w:val="auto"/>
        <w:outlineLvl w:val="9"/>
        <w:rPr>
          <w:sz w:val="32"/>
        </w:rPr>
      </w:pPr>
      <w:r>
        <w:rPr>
          <w:rFonts w:hint="eastAsia" w:ascii="仿宋" w:hAnsi="仿宋" w:eastAsia="仿宋" w:cs="仿宋"/>
          <w:spacing w:val="-4"/>
          <w:sz w:val="32"/>
          <w:szCs w:val="22"/>
          <w:lang w:val="zh-CN" w:eastAsia="zh-CN" w:bidi="zh-CN"/>
        </w:rPr>
        <w:t>卫生健康（210类）行政事业单位医疗（11款）行政单位医疗（01项）年初预算为</w:t>
      </w:r>
      <w:r>
        <w:rPr>
          <w:rFonts w:hint="eastAsia" w:ascii="仿宋" w:hAnsi="仿宋" w:eastAsia="仿宋" w:cs="仿宋"/>
          <w:spacing w:val="-4"/>
          <w:sz w:val="32"/>
          <w:szCs w:val="22"/>
          <w:lang w:val="en-US" w:eastAsia="zh-CN" w:bidi="zh-CN"/>
        </w:rPr>
        <w:t>33.27</w:t>
      </w:r>
      <w:r>
        <w:rPr>
          <w:rFonts w:hint="eastAsia" w:ascii="仿宋" w:hAnsi="仿宋" w:eastAsia="仿宋" w:cs="仿宋"/>
          <w:spacing w:val="-4"/>
          <w:sz w:val="32"/>
          <w:szCs w:val="22"/>
          <w:lang w:val="zh-CN" w:eastAsia="zh-CN" w:bidi="zh-CN"/>
        </w:rPr>
        <w:t>万元，支出决算为</w:t>
      </w:r>
      <w:r>
        <w:rPr>
          <w:rFonts w:hint="eastAsia" w:ascii="仿宋" w:hAnsi="仿宋" w:eastAsia="仿宋" w:cs="仿宋"/>
          <w:spacing w:val="-4"/>
          <w:sz w:val="32"/>
          <w:szCs w:val="22"/>
          <w:lang w:val="en-US" w:eastAsia="zh-CN" w:bidi="zh-CN"/>
        </w:rPr>
        <w:t>19.24</w:t>
      </w:r>
      <w:r>
        <w:rPr>
          <w:rFonts w:hint="eastAsia" w:ascii="仿宋" w:hAnsi="仿宋" w:eastAsia="仿宋" w:cs="仿宋"/>
          <w:spacing w:val="-4"/>
          <w:sz w:val="32"/>
          <w:szCs w:val="22"/>
          <w:lang w:val="zh-CN" w:eastAsia="zh-CN" w:bidi="zh-CN"/>
        </w:rPr>
        <w:t>万元，完成年初预算的</w:t>
      </w:r>
      <w:r>
        <w:rPr>
          <w:rFonts w:hint="eastAsia" w:ascii="仿宋" w:hAnsi="仿宋" w:eastAsia="仿宋" w:cs="仿宋"/>
          <w:spacing w:val="-4"/>
          <w:sz w:val="32"/>
          <w:szCs w:val="22"/>
          <w:lang w:val="en-US" w:eastAsia="zh-CN" w:bidi="zh-CN"/>
        </w:rPr>
        <w:t>58</w:t>
      </w:r>
      <w:r>
        <w:rPr>
          <w:rFonts w:hint="eastAsia" w:ascii="仿宋" w:hAnsi="仿宋" w:eastAsia="仿宋" w:cs="仿宋"/>
          <w:spacing w:val="-4"/>
          <w:sz w:val="32"/>
          <w:szCs w:val="22"/>
          <w:lang w:val="zh-CN" w:eastAsia="zh-CN" w:bidi="zh-CN"/>
        </w:rPr>
        <w:t>%。</w:t>
      </w:r>
      <w:r>
        <w:rPr>
          <w:spacing w:val="-6"/>
          <w:sz w:val="32"/>
        </w:rPr>
        <w:t>决算数与年初预算数存在</w:t>
      </w:r>
      <w:r>
        <w:rPr>
          <w:spacing w:val="-9"/>
          <w:sz w:val="32"/>
        </w:rPr>
        <w:t>差异的主要原因</w:t>
      </w:r>
      <w:r>
        <w:rPr>
          <w:rFonts w:hint="eastAsia"/>
          <w:spacing w:val="-9"/>
          <w:sz w:val="32"/>
          <w:lang w:eastAsia="zh-CN"/>
        </w:rPr>
        <w:t>人员调动</w:t>
      </w:r>
      <w:r>
        <w:rPr>
          <w:sz w:val="32"/>
        </w:rPr>
        <w:t>。</w:t>
      </w:r>
    </w:p>
    <w:p>
      <w:pPr>
        <w:pStyle w:val="9"/>
        <w:numPr>
          <w:ilvl w:val="2"/>
          <w:numId w:val="3"/>
        </w:numPr>
        <w:tabs>
          <w:tab w:val="left" w:pos="1231"/>
        </w:tabs>
        <w:wordWrap/>
        <w:autoSpaceDE w:val="0"/>
        <w:autoSpaceDN w:val="0"/>
        <w:adjustRightInd/>
        <w:snapToGrid/>
        <w:spacing w:before="0" w:after="0" w:line="600" w:lineRule="exact"/>
        <w:ind w:left="0" w:leftChars="0" w:right="0" w:firstLine="640"/>
        <w:textAlignment w:val="auto"/>
        <w:outlineLvl w:val="9"/>
        <w:rPr>
          <w:rFonts w:hint="eastAsia" w:ascii="仿宋" w:hAnsi="仿宋" w:eastAsia="仿宋" w:cs="仿宋"/>
          <w:spacing w:val="-4"/>
          <w:sz w:val="32"/>
          <w:szCs w:val="22"/>
          <w:lang w:val="zh-CN" w:eastAsia="zh-CN" w:bidi="zh-CN"/>
        </w:rPr>
      </w:pPr>
      <w:r>
        <w:rPr>
          <w:rFonts w:hint="eastAsia" w:ascii="仿宋" w:hAnsi="仿宋" w:eastAsia="仿宋" w:cs="仿宋"/>
          <w:spacing w:val="-4"/>
          <w:sz w:val="32"/>
          <w:szCs w:val="22"/>
          <w:lang w:val="zh-CN" w:eastAsia="zh-CN" w:bidi="zh-CN"/>
        </w:rPr>
        <w:t>卫生健康（210类）</w:t>
      </w:r>
      <w:r>
        <w:rPr>
          <w:rFonts w:hint="eastAsia" w:cs="仿宋"/>
          <w:spacing w:val="-4"/>
          <w:sz w:val="32"/>
          <w:szCs w:val="22"/>
          <w:lang w:val="zh-CN" w:eastAsia="zh-CN" w:bidi="zh-CN"/>
        </w:rPr>
        <w:t>公共卫生</w:t>
      </w:r>
      <w:r>
        <w:rPr>
          <w:rFonts w:hint="eastAsia" w:ascii="仿宋" w:hAnsi="仿宋" w:eastAsia="仿宋" w:cs="仿宋"/>
          <w:spacing w:val="-4"/>
          <w:sz w:val="32"/>
          <w:szCs w:val="22"/>
          <w:lang w:val="zh-CN" w:eastAsia="zh-CN" w:bidi="zh-CN"/>
        </w:rPr>
        <w:t>（</w:t>
      </w:r>
      <w:r>
        <w:rPr>
          <w:rFonts w:hint="eastAsia" w:cs="仿宋"/>
          <w:spacing w:val="-4"/>
          <w:sz w:val="32"/>
          <w:szCs w:val="22"/>
          <w:lang w:val="en-US" w:eastAsia="zh-CN" w:bidi="zh-CN"/>
        </w:rPr>
        <w:t>04</w:t>
      </w:r>
      <w:r>
        <w:rPr>
          <w:rFonts w:hint="eastAsia" w:ascii="仿宋" w:hAnsi="仿宋" w:eastAsia="仿宋" w:cs="仿宋"/>
          <w:spacing w:val="-4"/>
          <w:sz w:val="32"/>
          <w:szCs w:val="22"/>
          <w:lang w:val="zh-CN" w:eastAsia="zh-CN" w:bidi="zh-CN"/>
        </w:rPr>
        <w:t>款）</w:t>
      </w:r>
      <w:r>
        <w:rPr>
          <w:rFonts w:hint="eastAsia" w:cs="仿宋"/>
          <w:spacing w:val="-4"/>
          <w:sz w:val="32"/>
          <w:szCs w:val="22"/>
          <w:lang w:val="zh-CN" w:eastAsia="zh-CN" w:bidi="zh-CN"/>
        </w:rPr>
        <w:t>突发公共卫生应急处理</w:t>
      </w:r>
      <w:r>
        <w:rPr>
          <w:rFonts w:hint="eastAsia" w:ascii="仿宋" w:hAnsi="仿宋" w:eastAsia="仿宋" w:cs="仿宋"/>
          <w:spacing w:val="-4"/>
          <w:sz w:val="32"/>
          <w:szCs w:val="22"/>
          <w:lang w:val="zh-CN" w:eastAsia="zh-CN" w:bidi="zh-CN"/>
        </w:rPr>
        <w:t>（</w:t>
      </w:r>
      <w:r>
        <w:rPr>
          <w:rFonts w:hint="eastAsia" w:cs="仿宋"/>
          <w:spacing w:val="-4"/>
          <w:sz w:val="32"/>
          <w:szCs w:val="22"/>
          <w:lang w:val="en-US" w:eastAsia="zh-CN" w:bidi="zh-CN"/>
        </w:rPr>
        <w:t>10</w:t>
      </w:r>
      <w:r>
        <w:rPr>
          <w:rFonts w:hint="eastAsia" w:ascii="仿宋" w:hAnsi="仿宋" w:eastAsia="仿宋" w:cs="仿宋"/>
          <w:spacing w:val="-4"/>
          <w:sz w:val="32"/>
          <w:szCs w:val="22"/>
          <w:lang w:val="zh-CN" w:eastAsia="zh-CN" w:bidi="zh-CN"/>
        </w:rPr>
        <w:t>项）年初预算为</w:t>
      </w:r>
      <w:r>
        <w:rPr>
          <w:rFonts w:hint="eastAsia" w:cs="仿宋"/>
          <w:spacing w:val="-4"/>
          <w:sz w:val="32"/>
          <w:szCs w:val="22"/>
          <w:lang w:val="en-US" w:eastAsia="zh-CN" w:bidi="zh-CN"/>
        </w:rPr>
        <w:t>0</w:t>
      </w:r>
      <w:r>
        <w:rPr>
          <w:rFonts w:hint="eastAsia" w:ascii="仿宋" w:hAnsi="仿宋" w:eastAsia="仿宋" w:cs="仿宋"/>
          <w:spacing w:val="-4"/>
          <w:sz w:val="32"/>
          <w:szCs w:val="22"/>
          <w:lang w:val="zh-CN" w:eastAsia="zh-CN" w:bidi="zh-CN"/>
        </w:rPr>
        <w:t>万元，支出决算为</w:t>
      </w:r>
      <w:r>
        <w:rPr>
          <w:rFonts w:hint="eastAsia" w:cs="仿宋"/>
          <w:spacing w:val="-4"/>
          <w:sz w:val="32"/>
          <w:szCs w:val="22"/>
          <w:lang w:val="en-US" w:eastAsia="zh-CN" w:bidi="zh-CN"/>
        </w:rPr>
        <w:t>1.1</w:t>
      </w:r>
      <w:r>
        <w:rPr>
          <w:rFonts w:hint="eastAsia" w:ascii="仿宋" w:hAnsi="仿宋" w:eastAsia="仿宋" w:cs="仿宋"/>
          <w:spacing w:val="-4"/>
          <w:sz w:val="32"/>
          <w:szCs w:val="22"/>
          <w:lang w:val="zh-CN" w:eastAsia="zh-CN" w:bidi="zh-CN"/>
        </w:rPr>
        <w:t>万元，完成年初预算的</w:t>
      </w:r>
      <w:r>
        <w:rPr>
          <w:rFonts w:hint="eastAsia" w:cs="仿宋"/>
          <w:spacing w:val="-4"/>
          <w:sz w:val="32"/>
          <w:szCs w:val="22"/>
          <w:lang w:val="en-US" w:eastAsia="zh-CN" w:bidi="zh-CN"/>
        </w:rPr>
        <w:t>100</w:t>
      </w:r>
      <w:r>
        <w:rPr>
          <w:rFonts w:hint="eastAsia" w:ascii="仿宋" w:hAnsi="仿宋" w:eastAsia="仿宋" w:cs="仿宋"/>
          <w:spacing w:val="-4"/>
          <w:sz w:val="32"/>
          <w:szCs w:val="22"/>
          <w:lang w:val="zh-CN" w:eastAsia="zh-CN" w:bidi="zh-CN"/>
        </w:rPr>
        <w:t>%。</w:t>
      </w:r>
      <w:r>
        <w:rPr>
          <w:spacing w:val="-6"/>
          <w:sz w:val="32"/>
        </w:rPr>
        <w:t>决算数与年初预算数存在</w:t>
      </w:r>
      <w:r>
        <w:rPr>
          <w:spacing w:val="-9"/>
          <w:sz w:val="32"/>
        </w:rPr>
        <w:t>差异的主要原因</w:t>
      </w:r>
      <w:r>
        <w:rPr>
          <w:rFonts w:hint="eastAsia" w:ascii="仿宋" w:hAnsi="仿宋" w:eastAsia="仿宋" w:cs="仿宋"/>
          <w:spacing w:val="-4"/>
          <w:sz w:val="32"/>
          <w:szCs w:val="22"/>
          <w:lang w:val="zh-CN" w:eastAsia="zh-CN" w:bidi="zh-CN"/>
        </w:rPr>
        <w:t>2020 年新冠肺炎疫情突发。</w:t>
      </w:r>
    </w:p>
    <w:p>
      <w:pPr>
        <w:pStyle w:val="9"/>
        <w:numPr>
          <w:ilvl w:val="2"/>
          <w:numId w:val="3"/>
        </w:numPr>
        <w:tabs>
          <w:tab w:val="left" w:pos="1231"/>
        </w:tabs>
        <w:wordWrap/>
        <w:autoSpaceDE w:val="0"/>
        <w:autoSpaceDN w:val="0"/>
        <w:adjustRightInd/>
        <w:snapToGrid/>
        <w:spacing w:before="0" w:after="0" w:line="600" w:lineRule="exact"/>
        <w:ind w:left="0" w:leftChars="0" w:right="0" w:firstLine="640"/>
        <w:textAlignment w:val="auto"/>
        <w:outlineLvl w:val="9"/>
        <w:rPr>
          <w:rFonts w:hint="eastAsia" w:ascii="仿宋" w:hAnsi="仿宋" w:eastAsia="仿宋" w:cs="仿宋"/>
          <w:spacing w:val="-4"/>
          <w:sz w:val="32"/>
          <w:szCs w:val="22"/>
          <w:lang w:val="zh-CN" w:eastAsia="zh-CN" w:bidi="zh-CN"/>
        </w:rPr>
      </w:pPr>
      <w:r>
        <w:rPr>
          <w:rFonts w:hint="eastAsia" w:cs="仿宋"/>
          <w:spacing w:val="-4"/>
          <w:sz w:val="32"/>
          <w:szCs w:val="22"/>
          <w:lang w:val="zh-CN" w:eastAsia="zh-CN" w:bidi="zh-CN"/>
        </w:rPr>
        <w:t>节能环保</w:t>
      </w:r>
      <w:r>
        <w:rPr>
          <w:rFonts w:hint="eastAsia" w:ascii="仿宋" w:hAnsi="仿宋" w:eastAsia="仿宋" w:cs="仿宋"/>
          <w:spacing w:val="-4"/>
          <w:sz w:val="32"/>
          <w:szCs w:val="22"/>
          <w:lang w:val="zh-CN" w:eastAsia="zh-CN" w:bidi="zh-CN"/>
        </w:rPr>
        <w:t>（</w:t>
      </w:r>
      <w:r>
        <w:rPr>
          <w:rFonts w:hint="eastAsia" w:cs="仿宋"/>
          <w:spacing w:val="-4"/>
          <w:sz w:val="32"/>
          <w:szCs w:val="22"/>
          <w:lang w:val="en-US" w:eastAsia="zh-CN" w:bidi="zh-CN"/>
        </w:rPr>
        <w:t>211</w:t>
      </w:r>
      <w:r>
        <w:rPr>
          <w:rFonts w:hint="eastAsia" w:ascii="仿宋" w:hAnsi="仿宋" w:eastAsia="仿宋" w:cs="仿宋"/>
          <w:spacing w:val="-4"/>
          <w:sz w:val="32"/>
          <w:szCs w:val="22"/>
          <w:lang w:val="zh-CN" w:eastAsia="zh-CN" w:bidi="zh-CN"/>
        </w:rPr>
        <w:t>类）</w:t>
      </w:r>
      <w:r>
        <w:rPr>
          <w:rFonts w:hint="eastAsia" w:cs="仿宋"/>
          <w:spacing w:val="-4"/>
          <w:sz w:val="32"/>
          <w:szCs w:val="22"/>
          <w:lang w:val="zh-CN" w:eastAsia="zh-CN" w:bidi="zh-CN"/>
        </w:rPr>
        <w:t>能源节约利用</w:t>
      </w:r>
      <w:r>
        <w:rPr>
          <w:rFonts w:hint="eastAsia" w:ascii="仿宋" w:hAnsi="仿宋" w:eastAsia="仿宋" w:cs="仿宋"/>
          <w:spacing w:val="-4"/>
          <w:sz w:val="32"/>
          <w:szCs w:val="22"/>
          <w:lang w:val="zh-CN" w:eastAsia="zh-CN" w:bidi="zh-CN"/>
        </w:rPr>
        <w:t>（</w:t>
      </w:r>
      <w:r>
        <w:rPr>
          <w:rFonts w:hint="eastAsia" w:cs="仿宋"/>
          <w:spacing w:val="-4"/>
          <w:sz w:val="32"/>
          <w:szCs w:val="22"/>
          <w:lang w:val="en-US" w:eastAsia="zh-CN" w:bidi="zh-CN"/>
        </w:rPr>
        <w:t>10</w:t>
      </w:r>
      <w:r>
        <w:rPr>
          <w:rFonts w:hint="eastAsia" w:ascii="仿宋" w:hAnsi="仿宋" w:eastAsia="仿宋" w:cs="仿宋"/>
          <w:spacing w:val="-4"/>
          <w:sz w:val="32"/>
          <w:szCs w:val="22"/>
          <w:lang w:val="zh-CN" w:eastAsia="zh-CN" w:bidi="zh-CN"/>
        </w:rPr>
        <w:t>款）</w:t>
      </w:r>
      <w:r>
        <w:rPr>
          <w:rFonts w:hint="eastAsia" w:cs="仿宋"/>
          <w:spacing w:val="-4"/>
          <w:sz w:val="32"/>
          <w:szCs w:val="22"/>
          <w:lang w:val="zh-CN" w:eastAsia="zh-CN" w:bidi="zh-CN"/>
        </w:rPr>
        <w:t>能源节约利用</w:t>
      </w:r>
      <w:r>
        <w:rPr>
          <w:rFonts w:hint="eastAsia" w:ascii="仿宋" w:hAnsi="仿宋" w:eastAsia="仿宋" w:cs="仿宋"/>
          <w:spacing w:val="-4"/>
          <w:sz w:val="32"/>
          <w:szCs w:val="22"/>
          <w:lang w:val="zh-CN" w:eastAsia="zh-CN" w:bidi="zh-CN"/>
        </w:rPr>
        <w:t>（</w:t>
      </w:r>
      <w:r>
        <w:rPr>
          <w:rFonts w:hint="eastAsia" w:cs="仿宋"/>
          <w:spacing w:val="-4"/>
          <w:sz w:val="32"/>
          <w:szCs w:val="22"/>
          <w:lang w:val="en-US" w:eastAsia="zh-CN" w:bidi="zh-CN"/>
        </w:rPr>
        <w:t>01</w:t>
      </w:r>
      <w:r>
        <w:rPr>
          <w:rFonts w:hint="eastAsia" w:ascii="仿宋" w:hAnsi="仿宋" w:eastAsia="仿宋" w:cs="仿宋"/>
          <w:spacing w:val="-4"/>
          <w:sz w:val="32"/>
          <w:szCs w:val="22"/>
          <w:lang w:val="zh-CN" w:eastAsia="zh-CN" w:bidi="zh-CN"/>
        </w:rPr>
        <w:t>项）年初预算为</w:t>
      </w:r>
      <w:r>
        <w:rPr>
          <w:rFonts w:hint="eastAsia" w:cs="仿宋"/>
          <w:spacing w:val="-4"/>
          <w:sz w:val="32"/>
          <w:szCs w:val="22"/>
          <w:lang w:val="en-US" w:eastAsia="zh-CN" w:bidi="zh-CN"/>
        </w:rPr>
        <w:t>86.53</w:t>
      </w:r>
      <w:r>
        <w:rPr>
          <w:rFonts w:hint="eastAsia" w:ascii="仿宋" w:hAnsi="仿宋" w:eastAsia="仿宋" w:cs="仿宋"/>
          <w:spacing w:val="-4"/>
          <w:sz w:val="32"/>
          <w:szCs w:val="22"/>
          <w:lang w:val="zh-CN" w:eastAsia="zh-CN" w:bidi="zh-CN"/>
        </w:rPr>
        <w:t>万元，支出决算为</w:t>
      </w:r>
      <w:r>
        <w:rPr>
          <w:rFonts w:hint="eastAsia" w:cs="仿宋"/>
          <w:spacing w:val="-4"/>
          <w:sz w:val="32"/>
          <w:szCs w:val="22"/>
          <w:lang w:val="en-US" w:eastAsia="zh-CN" w:bidi="zh-CN"/>
        </w:rPr>
        <w:t>86.53</w:t>
      </w:r>
      <w:r>
        <w:rPr>
          <w:rFonts w:hint="eastAsia" w:ascii="仿宋" w:hAnsi="仿宋" w:eastAsia="仿宋" w:cs="仿宋"/>
          <w:spacing w:val="-4"/>
          <w:sz w:val="32"/>
          <w:szCs w:val="22"/>
          <w:lang w:val="zh-CN" w:eastAsia="zh-CN" w:bidi="zh-CN"/>
        </w:rPr>
        <w:t>万元，完成年初预算的</w:t>
      </w:r>
      <w:r>
        <w:rPr>
          <w:rFonts w:hint="eastAsia" w:cs="仿宋"/>
          <w:spacing w:val="-4"/>
          <w:sz w:val="32"/>
          <w:szCs w:val="22"/>
          <w:lang w:val="en-US" w:eastAsia="zh-CN" w:bidi="zh-CN"/>
        </w:rPr>
        <w:t>100</w:t>
      </w:r>
      <w:r>
        <w:rPr>
          <w:rFonts w:hint="eastAsia" w:ascii="仿宋" w:hAnsi="仿宋" w:eastAsia="仿宋" w:cs="仿宋"/>
          <w:spacing w:val="-4"/>
          <w:sz w:val="32"/>
          <w:szCs w:val="22"/>
          <w:lang w:val="zh-CN" w:eastAsia="zh-CN" w:bidi="zh-CN"/>
        </w:rPr>
        <w:t>%。</w:t>
      </w:r>
      <w:r>
        <w:rPr>
          <w:spacing w:val="-6"/>
          <w:sz w:val="32"/>
        </w:rPr>
        <w:t>决算数与年初预算数</w:t>
      </w:r>
      <w:r>
        <w:rPr>
          <w:rFonts w:hint="eastAsia"/>
          <w:spacing w:val="-6"/>
          <w:sz w:val="32"/>
          <w:lang w:eastAsia="zh-CN"/>
        </w:rPr>
        <w:t>无</w:t>
      </w:r>
      <w:r>
        <w:rPr>
          <w:spacing w:val="-9"/>
          <w:sz w:val="32"/>
        </w:rPr>
        <w:t>差异</w:t>
      </w:r>
      <w:r>
        <w:rPr>
          <w:rFonts w:hint="eastAsia"/>
          <w:spacing w:val="-9"/>
          <w:sz w:val="32"/>
          <w:lang w:eastAsia="zh-CN"/>
        </w:rPr>
        <w:t>。</w:t>
      </w:r>
    </w:p>
    <w:p>
      <w:pPr>
        <w:widowControl/>
        <w:numPr>
          <w:ilvl w:val="0"/>
          <w:numId w:val="4"/>
        </w:numPr>
        <w:wordWrap/>
        <w:autoSpaceDE w:val="0"/>
        <w:autoSpaceDN w:val="0"/>
        <w:adjustRightInd/>
        <w:snapToGrid/>
        <w:spacing w:before="0" w:after="0" w:line="600" w:lineRule="exact"/>
        <w:ind w:left="0" w:leftChars="0" w:right="0" w:firstLine="643" w:firstLineChars="200"/>
        <w:textAlignment w:val="auto"/>
        <w:outlineLvl w:val="9"/>
        <w:rPr>
          <w:rFonts w:hint="eastAsia" w:ascii="仿宋" w:hAnsi="仿宋" w:eastAsia="仿宋" w:cs="仿宋"/>
          <w:spacing w:val="-6"/>
          <w:sz w:val="32"/>
          <w:szCs w:val="22"/>
          <w:lang w:val="zh-CN" w:eastAsia="zh-CN" w:bidi="zh-CN"/>
        </w:rPr>
      </w:pPr>
      <w:r>
        <w:rPr>
          <w:rFonts w:hint="eastAsia" w:ascii="仿宋" w:hAnsi="仿宋" w:eastAsia="仿宋" w:cs="仿宋"/>
          <w:spacing w:val="-6"/>
          <w:sz w:val="32"/>
          <w:szCs w:val="22"/>
          <w:lang w:val="zh-CN" w:eastAsia="zh-CN" w:bidi="zh-CN"/>
        </w:rPr>
        <w:t>城乡社区支出（212类）城乡社区管理事务（01款）行政运行（01项）年初预算为</w:t>
      </w:r>
      <w:r>
        <w:rPr>
          <w:rFonts w:hint="eastAsia" w:ascii="仿宋" w:hAnsi="仿宋" w:eastAsia="仿宋" w:cs="仿宋"/>
          <w:spacing w:val="-6"/>
          <w:sz w:val="32"/>
          <w:szCs w:val="22"/>
          <w:lang w:val="en-US" w:eastAsia="zh-CN" w:bidi="zh-CN"/>
        </w:rPr>
        <w:t>264.96</w:t>
      </w:r>
      <w:r>
        <w:rPr>
          <w:rFonts w:hint="eastAsia" w:ascii="仿宋" w:hAnsi="仿宋" w:eastAsia="仿宋" w:cs="仿宋"/>
          <w:spacing w:val="-6"/>
          <w:sz w:val="32"/>
          <w:szCs w:val="22"/>
          <w:lang w:val="zh-CN" w:eastAsia="zh-CN" w:bidi="zh-CN"/>
        </w:rPr>
        <w:t>万元，支出决算为</w:t>
      </w:r>
      <w:r>
        <w:rPr>
          <w:rFonts w:hint="eastAsia" w:ascii="仿宋" w:hAnsi="仿宋" w:eastAsia="仿宋" w:cs="仿宋"/>
          <w:spacing w:val="-6"/>
          <w:sz w:val="32"/>
          <w:szCs w:val="22"/>
          <w:lang w:val="en-US" w:eastAsia="zh-CN" w:bidi="zh-CN"/>
        </w:rPr>
        <w:t>244.66</w:t>
      </w:r>
      <w:r>
        <w:rPr>
          <w:rFonts w:hint="eastAsia" w:ascii="仿宋" w:hAnsi="仿宋" w:eastAsia="仿宋" w:cs="仿宋"/>
          <w:spacing w:val="-6"/>
          <w:sz w:val="32"/>
          <w:szCs w:val="22"/>
          <w:lang w:val="zh-CN" w:eastAsia="zh-CN" w:bidi="zh-CN"/>
        </w:rPr>
        <w:t>万元，完成年初预算的</w:t>
      </w:r>
      <w:r>
        <w:rPr>
          <w:rFonts w:hint="eastAsia" w:ascii="仿宋" w:hAnsi="仿宋" w:eastAsia="仿宋" w:cs="仿宋"/>
          <w:spacing w:val="-6"/>
          <w:sz w:val="32"/>
          <w:szCs w:val="22"/>
          <w:lang w:val="en-US" w:eastAsia="zh-CN" w:bidi="zh-CN"/>
        </w:rPr>
        <w:t>92</w:t>
      </w:r>
      <w:r>
        <w:rPr>
          <w:rFonts w:hint="eastAsia" w:ascii="仿宋" w:hAnsi="仿宋" w:eastAsia="仿宋" w:cs="仿宋"/>
          <w:spacing w:val="-6"/>
          <w:sz w:val="32"/>
          <w:szCs w:val="22"/>
          <w:lang w:val="zh-CN" w:eastAsia="zh-CN" w:bidi="zh-CN"/>
        </w:rPr>
        <w:t>%。决算数与年初预算数存在差异的主要原因是人员调动。</w:t>
      </w:r>
    </w:p>
    <w:p>
      <w:pPr>
        <w:widowControl/>
        <w:numPr>
          <w:ilvl w:val="0"/>
          <w:numId w:val="5"/>
        </w:numPr>
        <w:wordWrap/>
        <w:autoSpaceDE w:val="0"/>
        <w:autoSpaceDN w:val="0"/>
        <w:adjustRightInd/>
        <w:snapToGrid/>
        <w:spacing w:before="0" w:after="0" w:line="600" w:lineRule="exact"/>
        <w:ind w:left="0" w:leftChars="0" w:right="0" w:firstLine="643" w:firstLineChars="200"/>
        <w:textAlignment w:val="auto"/>
        <w:outlineLvl w:val="9"/>
        <w:rPr>
          <w:rFonts w:hint="eastAsia" w:ascii="仿宋" w:hAnsi="仿宋" w:eastAsia="仿宋" w:cs="仿宋"/>
          <w:spacing w:val="-6"/>
          <w:sz w:val="32"/>
          <w:szCs w:val="22"/>
          <w:lang w:val="zh-CN" w:eastAsia="zh-CN" w:bidi="zh-CN"/>
        </w:rPr>
      </w:pPr>
      <w:r>
        <w:rPr>
          <w:rFonts w:hint="eastAsia" w:ascii="仿宋" w:hAnsi="仿宋" w:eastAsia="仿宋" w:cs="仿宋"/>
          <w:spacing w:val="-6"/>
          <w:sz w:val="32"/>
          <w:szCs w:val="22"/>
          <w:lang w:val="en-US" w:eastAsia="zh-CN" w:bidi="zh-CN"/>
        </w:rPr>
        <w:t xml:space="preserve"> </w:t>
      </w:r>
      <w:r>
        <w:rPr>
          <w:rFonts w:hint="eastAsia" w:ascii="仿宋" w:hAnsi="仿宋" w:eastAsia="仿宋" w:cs="仿宋"/>
          <w:spacing w:val="-6"/>
          <w:sz w:val="32"/>
          <w:szCs w:val="22"/>
          <w:lang w:val="zh-CN" w:eastAsia="zh-CN" w:bidi="zh-CN"/>
        </w:rPr>
        <w:t>城乡社区支出（212类）城乡社区管理事务（01款）一般行政管理事务（</w:t>
      </w:r>
      <w:r>
        <w:rPr>
          <w:rFonts w:hint="eastAsia" w:ascii="仿宋" w:hAnsi="仿宋" w:eastAsia="仿宋" w:cs="仿宋"/>
          <w:spacing w:val="-6"/>
          <w:sz w:val="32"/>
          <w:szCs w:val="22"/>
          <w:lang w:val="en-US" w:eastAsia="zh-CN" w:bidi="zh-CN"/>
        </w:rPr>
        <w:t>02</w:t>
      </w:r>
      <w:r>
        <w:rPr>
          <w:rFonts w:hint="eastAsia" w:ascii="仿宋" w:hAnsi="仿宋" w:eastAsia="仿宋" w:cs="仿宋"/>
          <w:spacing w:val="-6"/>
          <w:sz w:val="32"/>
          <w:szCs w:val="22"/>
          <w:lang w:val="zh-CN" w:eastAsia="zh-CN" w:bidi="zh-CN"/>
        </w:rPr>
        <w:t>项）年初预算为</w:t>
      </w:r>
      <w:r>
        <w:rPr>
          <w:rFonts w:hint="eastAsia" w:ascii="仿宋" w:hAnsi="仿宋" w:eastAsia="仿宋" w:cs="仿宋"/>
          <w:spacing w:val="-6"/>
          <w:sz w:val="32"/>
          <w:szCs w:val="22"/>
          <w:lang w:val="en-US" w:eastAsia="zh-CN" w:bidi="zh-CN"/>
        </w:rPr>
        <w:t>81.91</w:t>
      </w:r>
      <w:r>
        <w:rPr>
          <w:rFonts w:hint="eastAsia" w:ascii="仿宋" w:hAnsi="仿宋" w:eastAsia="仿宋" w:cs="仿宋"/>
          <w:spacing w:val="-6"/>
          <w:sz w:val="32"/>
          <w:szCs w:val="22"/>
          <w:lang w:val="zh-CN" w:eastAsia="zh-CN" w:bidi="zh-CN"/>
        </w:rPr>
        <w:t>万元，支出决算为</w:t>
      </w:r>
      <w:r>
        <w:rPr>
          <w:rFonts w:hint="eastAsia" w:ascii="仿宋" w:hAnsi="仿宋" w:eastAsia="仿宋" w:cs="仿宋"/>
          <w:spacing w:val="-6"/>
          <w:sz w:val="32"/>
          <w:szCs w:val="22"/>
          <w:lang w:val="en-US" w:eastAsia="zh-CN" w:bidi="zh-CN"/>
        </w:rPr>
        <w:t>59.98</w:t>
      </w:r>
      <w:r>
        <w:rPr>
          <w:rFonts w:hint="eastAsia" w:ascii="仿宋" w:hAnsi="仿宋" w:eastAsia="仿宋" w:cs="仿宋"/>
          <w:spacing w:val="-6"/>
          <w:sz w:val="32"/>
          <w:szCs w:val="22"/>
          <w:lang w:val="zh-CN" w:eastAsia="zh-CN" w:bidi="zh-CN"/>
        </w:rPr>
        <w:t>万元，完成年初预算的</w:t>
      </w:r>
      <w:r>
        <w:rPr>
          <w:rFonts w:hint="eastAsia" w:ascii="仿宋" w:hAnsi="仿宋" w:eastAsia="仿宋" w:cs="仿宋"/>
          <w:spacing w:val="-6"/>
          <w:sz w:val="32"/>
          <w:szCs w:val="22"/>
          <w:lang w:val="en-US" w:eastAsia="zh-CN" w:bidi="zh-CN"/>
        </w:rPr>
        <w:t>73</w:t>
      </w:r>
      <w:r>
        <w:rPr>
          <w:rFonts w:hint="eastAsia" w:ascii="仿宋" w:hAnsi="仿宋" w:eastAsia="仿宋" w:cs="仿宋"/>
          <w:spacing w:val="-6"/>
          <w:sz w:val="32"/>
          <w:szCs w:val="22"/>
          <w:lang w:val="zh-CN" w:eastAsia="zh-CN" w:bidi="zh-CN"/>
        </w:rPr>
        <w:t>%。决算数与年初预算数存在差异的主要原因是资金调配不到位。</w:t>
      </w:r>
    </w:p>
    <w:p>
      <w:pPr>
        <w:widowControl/>
        <w:numPr>
          <w:ilvl w:val="0"/>
          <w:numId w:val="6"/>
        </w:numPr>
        <w:wordWrap/>
        <w:autoSpaceDE w:val="0"/>
        <w:autoSpaceDN w:val="0"/>
        <w:adjustRightInd/>
        <w:snapToGrid/>
        <w:spacing w:before="0" w:after="0" w:line="600" w:lineRule="exact"/>
        <w:ind w:left="0" w:leftChars="0" w:right="0" w:firstLine="643" w:firstLineChars="200"/>
        <w:textAlignment w:val="auto"/>
        <w:outlineLvl w:val="9"/>
        <w:rPr>
          <w:rFonts w:hint="eastAsia" w:ascii="仿宋" w:hAnsi="仿宋" w:eastAsia="仿宋" w:cs="仿宋"/>
          <w:spacing w:val="-6"/>
          <w:sz w:val="32"/>
          <w:szCs w:val="22"/>
          <w:lang w:val="zh-CN" w:eastAsia="zh-CN" w:bidi="zh-CN"/>
        </w:rPr>
      </w:pPr>
      <w:r>
        <w:rPr>
          <w:rFonts w:hint="eastAsia" w:ascii="仿宋" w:hAnsi="仿宋" w:eastAsia="仿宋" w:cs="仿宋"/>
          <w:spacing w:val="-6"/>
          <w:sz w:val="32"/>
          <w:szCs w:val="22"/>
          <w:lang w:val="zh-CN" w:eastAsia="zh-CN" w:bidi="zh-CN"/>
        </w:rPr>
        <w:t>城乡社区支出（212类）城乡社区管理事务（01款）行政运行（</w:t>
      </w:r>
      <w:r>
        <w:rPr>
          <w:rFonts w:hint="eastAsia" w:ascii="仿宋" w:hAnsi="仿宋" w:eastAsia="仿宋" w:cs="仿宋"/>
          <w:spacing w:val="-6"/>
          <w:sz w:val="32"/>
          <w:szCs w:val="22"/>
          <w:lang w:val="en-US" w:eastAsia="zh-CN" w:bidi="zh-CN"/>
        </w:rPr>
        <w:t>99</w:t>
      </w:r>
      <w:r>
        <w:rPr>
          <w:rFonts w:hint="eastAsia" w:ascii="仿宋" w:hAnsi="仿宋" w:eastAsia="仿宋" w:cs="仿宋"/>
          <w:spacing w:val="-6"/>
          <w:sz w:val="32"/>
          <w:szCs w:val="22"/>
          <w:lang w:val="zh-CN" w:eastAsia="zh-CN" w:bidi="zh-CN"/>
        </w:rPr>
        <w:t>项）年初预算为</w:t>
      </w:r>
      <w:r>
        <w:rPr>
          <w:rFonts w:hint="eastAsia" w:ascii="仿宋" w:hAnsi="仿宋" w:eastAsia="仿宋" w:cs="仿宋"/>
          <w:spacing w:val="-6"/>
          <w:sz w:val="32"/>
          <w:szCs w:val="22"/>
          <w:lang w:val="en-US" w:eastAsia="zh-CN" w:bidi="zh-CN"/>
        </w:rPr>
        <w:t>7.29</w:t>
      </w:r>
      <w:r>
        <w:rPr>
          <w:rFonts w:hint="eastAsia" w:ascii="仿宋" w:hAnsi="仿宋" w:eastAsia="仿宋" w:cs="仿宋"/>
          <w:spacing w:val="-6"/>
          <w:sz w:val="32"/>
          <w:szCs w:val="22"/>
          <w:lang w:val="zh-CN" w:eastAsia="zh-CN" w:bidi="zh-CN"/>
        </w:rPr>
        <w:t>万元，支出决算为</w:t>
      </w:r>
      <w:r>
        <w:rPr>
          <w:rFonts w:hint="eastAsia" w:ascii="仿宋" w:hAnsi="仿宋" w:eastAsia="仿宋" w:cs="仿宋"/>
          <w:spacing w:val="-6"/>
          <w:sz w:val="32"/>
          <w:szCs w:val="22"/>
          <w:lang w:val="en-US" w:eastAsia="zh-CN" w:bidi="zh-CN"/>
        </w:rPr>
        <w:t>4.13</w:t>
      </w:r>
      <w:r>
        <w:rPr>
          <w:rFonts w:hint="eastAsia" w:ascii="仿宋" w:hAnsi="仿宋" w:eastAsia="仿宋" w:cs="仿宋"/>
          <w:spacing w:val="-6"/>
          <w:sz w:val="32"/>
          <w:szCs w:val="22"/>
          <w:lang w:val="zh-CN" w:eastAsia="zh-CN" w:bidi="zh-CN"/>
        </w:rPr>
        <w:t>万元，完成年初预算的</w:t>
      </w:r>
      <w:r>
        <w:rPr>
          <w:rFonts w:hint="eastAsia" w:ascii="仿宋" w:hAnsi="仿宋" w:eastAsia="仿宋" w:cs="仿宋"/>
          <w:spacing w:val="-6"/>
          <w:sz w:val="32"/>
          <w:szCs w:val="22"/>
          <w:lang w:val="en-US" w:eastAsia="zh-CN" w:bidi="zh-CN"/>
        </w:rPr>
        <w:t>57</w:t>
      </w:r>
      <w:r>
        <w:rPr>
          <w:rFonts w:hint="eastAsia" w:ascii="仿宋" w:hAnsi="仿宋" w:eastAsia="仿宋" w:cs="仿宋"/>
          <w:spacing w:val="-6"/>
          <w:sz w:val="32"/>
          <w:szCs w:val="22"/>
          <w:lang w:val="zh-CN" w:eastAsia="zh-CN" w:bidi="zh-CN"/>
        </w:rPr>
        <w:t>%。决算数与年初预算数存在差异的主要原因资金调配不到位。</w:t>
      </w:r>
    </w:p>
    <w:p>
      <w:pPr>
        <w:widowControl/>
        <w:numPr>
          <w:ilvl w:val="0"/>
          <w:numId w:val="6"/>
        </w:numPr>
        <w:wordWrap/>
        <w:autoSpaceDE w:val="0"/>
        <w:autoSpaceDN w:val="0"/>
        <w:adjustRightInd/>
        <w:snapToGrid/>
        <w:spacing w:before="0" w:after="0" w:line="600" w:lineRule="exact"/>
        <w:ind w:left="0" w:leftChars="0" w:right="0" w:firstLine="643" w:firstLineChars="200"/>
        <w:textAlignment w:val="auto"/>
        <w:outlineLvl w:val="9"/>
        <w:rPr>
          <w:rFonts w:hint="eastAsia" w:ascii="仿宋" w:hAnsi="仿宋" w:eastAsia="仿宋" w:cs="仿宋"/>
          <w:spacing w:val="-6"/>
          <w:sz w:val="32"/>
          <w:szCs w:val="22"/>
          <w:lang w:val="zh-CN" w:eastAsia="zh-CN" w:bidi="zh-CN"/>
        </w:rPr>
      </w:pPr>
      <w:r>
        <w:rPr>
          <w:rFonts w:hint="eastAsia" w:ascii="仿宋" w:hAnsi="仿宋" w:eastAsia="仿宋" w:cs="仿宋"/>
          <w:spacing w:val="-6"/>
          <w:sz w:val="32"/>
          <w:szCs w:val="22"/>
          <w:lang w:val="zh-CN" w:eastAsia="zh-CN" w:bidi="zh-CN"/>
        </w:rPr>
        <w:t>城乡社区支出（212类）城乡社区公共设施（</w:t>
      </w:r>
      <w:r>
        <w:rPr>
          <w:rFonts w:hint="eastAsia" w:ascii="仿宋" w:hAnsi="仿宋" w:eastAsia="仿宋" w:cs="仿宋"/>
          <w:spacing w:val="-6"/>
          <w:sz w:val="32"/>
          <w:szCs w:val="22"/>
          <w:lang w:val="en-US" w:eastAsia="zh-CN" w:bidi="zh-CN"/>
        </w:rPr>
        <w:t>03</w:t>
      </w:r>
      <w:r>
        <w:rPr>
          <w:rFonts w:hint="eastAsia" w:ascii="仿宋" w:hAnsi="仿宋" w:eastAsia="仿宋" w:cs="仿宋"/>
          <w:spacing w:val="-6"/>
          <w:sz w:val="32"/>
          <w:szCs w:val="22"/>
          <w:lang w:val="zh-CN" w:eastAsia="zh-CN" w:bidi="zh-CN"/>
        </w:rPr>
        <w:t>款）其他城乡社区公共设施支出（</w:t>
      </w:r>
      <w:r>
        <w:rPr>
          <w:rFonts w:hint="eastAsia" w:ascii="仿宋" w:hAnsi="仿宋" w:eastAsia="仿宋" w:cs="仿宋"/>
          <w:spacing w:val="-6"/>
          <w:sz w:val="32"/>
          <w:szCs w:val="22"/>
          <w:lang w:val="en-US" w:eastAsia="zh-CN" w:bidi="zh-CN"/>
        </w:rPr>
        <w:t>99</w:t>
      </w:r>
      <w:r>
        <w:rPr>
          <w:rFonts w:hint="eastAsia" w:ascii="仿宋" w:hAnsi="仿宋" w:eastAsia="仿宋" w:cs="仿宋"/>
          <w:spacing w:val="-6"/>
          <w:sz w:val="32"/>
          <w:szCs w:val="22"/>
          <w:lang w:val="zh-CN" w:eastAsia="zh-CN" w:bidi="zh-CN"/>
        </w:rPr>
        <w:t>项）年初预算为</w:t>
      </w:r>
      <w:r>
        <w:rPr>
          <w:rFonts w:hint="eastAsia" w:ascii="仿宋" w:hAnsi="仿宋" w:eastAsia="仿宋" w:cs="仿宋"/>
          <w:spacing w:val="-6"/>
          <w:sz w:val="32"/>
          <w:szCs w:val="22"/>
          <w:lang w:val="en-US" w:eastAsia="zh-CN" w:bidi="zh-CN"/>
        </w:rPr>
        <w:t>915.44</w:t>
      </w:r>
      <w:r>
        <w:rPr>
          <w:rFonts w:hint="eastAsia" w:ascii="仿宋" w:hAnsi="仿宋" w:eastAsia="仿宋" w:cs="仿宋"/>
          <w:spacing w:val="-6"/>
          <w:sz w:val="32"/>
          <w:szCs w:val="22"/>
          <w:lang w:val="zh-CN" w:eastAsia="zh-CN" w:bidi="zh-CN"/>
        </w:rPr>
        <w:t>万元，支出决算为</w:t>
      </w:r>
      <w:r>
        <w:rPr>
          <w:rFonts w:hint="eastAsia" w:ascii="仿宋" w:hAnsi="仿宋" w:eastAsia="仿宋" w:cs="仿宋"/>
          <w:spacing w:val="-6"/>
          <w:sz w:val="32"/>
          <w:szCs w:val="22"/>
          <w:lang w:val="en-US" w:eastAsia="zh-CN" w:bidi="zh-CN"/>
        </w:rPr>
        <w:t>915.44</w:t>
      </w:r>
      <w:r>
        <w:rPr>
          <w:rFonts w:hint="eastAsia" w:ascii="仿宋" w:hAnsi="仿宋" w:eastAsia="仿宋" w:cs="仿宋"/>
          <w:spacing w:val="-6"/>
          <w:sz w:val="32"/>
          <w:szCs w:val="22"/>
          <w:lang w:val="zh-CN" w:eastAsia="zh-CN" w:bidi="zh-CN"/>
        </w:rPr>
        <w:t>万元，完成年初预算的</w:t>
      </w:r>
      <w:r>
        <w:rPr>
          <w:rFonts w:hint="eastAsia" w:ascii="仿宋" w:hAnsi="仿宋" w:eastAsia="仿宋" w:cs="仿宋"/>
          <w:spacing w:val="-6"/>
          <w:sz w:val="32"/>
          <w:szCs w:val="22"/>
          <w:lang w:val="en-US" w:eastAsia="zh-CN" w:bidi="zh-CN"/>
        </w:rPr>
        <w:t>100</w:t>
      </w:r>
      <w:r>
        <w:rPr>
          <w:rFonts w:hint="eastAsia" w:ascii="仿宋" w:hAnsi="仿宋" w:eastAsia="仿宋" w:cs="仿宋"/>
          <w:spacing w:val="-6"/>
          <w:sz w:val="32"/>
          <w:szCs w:val="22"/>
          <w:lang w:val="zh-CN" w:eastAsia="zh-CN" w:bidi="zh-CN"/>
        </w:rPr>
        <w:t>%。决算数与年初预算数无差异。</w:t>
      </w:r>
    </w:p>
    <w:p>
      <w:pPr>
        <w:widowControl/>
        <w:numPr>
          <w:ilvl w:val="0"/>
          <w:numId w:val="6"/>
        </w:numPr>
        <w:wordWrap/>
        <w:autoSpaceDE w:val="0"/>
        <w:autoSpaceDN w:val="0"/>
        <w:adjustRightInd/>
        <w:snapToGrid/>
        <w:spacing w:before="0" w:after="0" w:line="600" w:lineRule="exact"/>
        <w:ind w:left="0" w:leftChars="0" w:right="0" w:firstLine="643" w:firstLineChars="200"/>
        <w:textAlignment w:val="auto"/>
        <w:outlineLvl w:val="9"/>
        <w:rPr>
          <w:rFonts w:hint="eastAsia" w:ascii="仿宋" w:hAnsi="仿宋" w:eastAsia="仿宋" w:cs="仿宋"/>
          <w:spacing w:val="-6"/>
          <w:sz w:val="32"/>
          <w:szCs w:val="22"/>
          <w:lang w:val="zh-CN" w:eastAsia="zh-CN" w:bidi="zh-CN"/>
        </w:rPr>
      </w:pPr>
      <w:r>
        <w:rPr>
          <w:rFonts w:hint="eastAsia" w:ascii="仿宋" w:hAnsi="仿宋" w:eastAsia="仿宋" w:cs="仿宋"/>
          <w:spacing w:val="-6"/>
          <w:sz w:val="32"/>
          <w:szCs w:val="22"/>
          <w:lang w:val="zh-CN" w:eastAsia="zh-CN" w:bidi="zh-CN"/>
        </w:rPr>
        <w:t>城乡社区支出（212类）其他城乡社区（</w:t>
      </w:r>
      <w:r>
        <w:rPr>
          <w:rFonts w:hint="eastAsia" w:ascii="仿宋" w:hAnsi="仿宋" w:eastAsia="仿宋" w:cs="仿宋"/>
          <w:spacing w:val="-6"/>
          <w:sz w:val="32"/>
          <w:szCs w:val="22"/>
          <w:lang w:val="en-US" w:eastAsia="zh-CN" w:bidi="zh-CN"/>
        </w:rPr>
        <w:t>99</w:t>
      </w:r>
      <w:r>
        <w:rPr>
          <w:rFonts w:hint="eastAsia" w:ascii="仿宋" w:hAnsi="仿宋" w:eastAsia="仿宋" w:cs="仿宋"/>
          <w:spacing w:val="-6"/>
          <w:sz w:val="32"/>
          <w:szCs w:val="22"/>
          <w:lang w:val="zh-CN" w:eastAsia="zh-CN" w:bidi="zh-CN"/>
        </w:rPr>
        <w:t>款）其他城乡社区</w:t>
      </w:r>
      <w:r>
        <w:rPr>
          <w:rFonts w:hint="eastAsia" w:ascii="仿宋" w:hAnsi="仿宋" w:eastAsia="仿宋" w:cs="仿宋"/>
          <w:spacing w:val="-6"/>
          <w:sz w:val="32"/>
          <w:szCs w:val="22"/>
          <w:lang w:val="en-US" w:eastAsia="zh-CN" w:bidi="zh-CN"/>
        </w:rPr>
        <w:t xml:space="preserve"> </w:t>
      </w:r>
      <w:r>
        <w:rPr>
          <w:rFonts w:hint="eastAsia" w:ascii="仿宋" w:hAnsi="仿宋" w:eastAsia="仿宋" w:cs="仿宋"/>
          <w:spacing w:val="-6"/>
          <w:sz w:val="32"/>
          <w:szCs w:val="22"/>
          <w:lang w:val="zh-CN" w:eastAsia="zh-CN" w:bidi="zh-CN"/>
        </w:rPr>
        <w:t>（</w:t>
      </w:r>
      <w:r>
        <w:rPr>
          <w:rFonts w:hint="eastAsia" w:ascii="仿宋" w:hAnsi="仿宋" w:eastAsia="仿宋" w:cs="仿宋"/>
          <w:spacing w:val="-6"/>
          <w:sz w:val="32"/>
          <w:szCs w:val="22"/>
          <w:lang w:val="en-US" w:eastAsia="zh-CN" w:bidi="zh-CN"/>
        </w:rPr>
        <w:t>01</w:t>
      </w:r>
      <w:r>
        <w:rPr>
          <w:rFonts w:hint="eastAsia" w:ascii="仿宋" w:hAnsi="仿宋" w:eastAsia="仿宋" w:cs="仿宋"/>
          <w:spacing w:val="-6"/>
          <w:sz w:val="32"/>
          <w:szCs w:val="22"/>
          <w:lang w:val="zh-CN" w:eastAsia="zh-CN" w:bidi="zh-CN"/>
        </w:rPr>
        <w:t>项）年初预算为</w:t>
      </w:r>
      <w:r>
        <w:rPr>
          <w:rFonts w:hint="eastAsia" w:ascii="仿宋" w:hAnsi="仿宋" w:eastAsia="仿宋" w:cs="仿宋"/>
          <w:spacing w:val="-6"/>
          <w:sz w:val="32"/>
          <w:szCs w:val="22"/>
          <w:lang w:val="en-US" w:eastAsia="zh-CN" w:bidi="zh-CN"/>
        </w:rPr>
        <w:t>207.19</w:t>
      </w:r>
      <w:r>
        <w:rPr>
          <w:rFonts w:hint="eastAsia" w:ascii="仿宋" w:hAnsi="仿宋" w:eastAsia="仿宋" w:cs="仿宋"/>
          <w:spacing w:val="-6"/>
          <w:sz w:val="32"/>
          <w:szCs w:val="22"/>
          <w:lang w:val="zh-CN" w:eastAsia="zh-CN" w:bidi="zh-CN"/>
        </w:rPr>
        <w:t>万元，支出决算为</w:t>
      </w:r>
      <w:r>
        <w:rPr>
          <w:rFonts w:hint="eastAsia" w:ascii="仿宋" w:hAnsi="仿宋" w:eastAsia="仿宋" w:cs="仿宋"/>
          <w:spacing w:val="-6"/>
          <w:sz w:val="32"/>
          <w:szCs w:val="22"/>
          <w:lang w:val="en-US" w:eastAsia="zh-CN" w:bidi="zh-CN"/>
        </w:rPr>
        <w:t>207.19</w:t>
      </w:r>
      <w:r>
        <w:rPr>
          <w:rFonts w:hint="eastAsia" w:ascii="仿宋" w:hAnsi="仿宋" w:eastAsia="仿宋" w:cs="仿宋"/>
          <w:spacing w:val="-6"/>
          <w:sz w:val="32"/>
          <w:szCs w:val="22"/>
          <w:lang w:val="zh-CN" w:eastAsia="zh-CN" w:bidi="zh-CN"/>
        </w:rPr>
        <w:t>万元，完成年初预算的</w:t>
      </w:r>
      <w:r>
        <w:rPr>
          <w:rFonts w:hint="eastAsia" w:ascii="仿宋" w:hAnsi="仿宋" w:eastAsia="仿宋" w:cs="仿宋"/>
          <w:spacing w:val="-6"/>
          <w:sz w:val="32"/>
          <w:szCs w:val="22"/>
          <w:lang w:val="en-US" w:eastAsia="zh-CN" w:bidi="zh-CN"/>
        </w:rPr>
        <w:t>100</w:t>
      </w:r>
      <w:r>
        <w:rPr>
          <w:rFonts w:hint="eastAsia" w:ascii="仿宋" w:hAnsi="仿宋" w:eastAsia="仿宋" w:cs="仿宋"/>
          <w:spacing w:val="-6"/>
          <w:sz w:val="32"/>
          <w:szCs w:val="22"/>
          <w:lang w:val="zh-CN" w:eastAsia="zh-CN" w:bidi="zh-CN"/>
        </w:rPr>
        <w:t>%。决算数与年初预算数无差异。</w:t>
      </w:r>
    </w:p>
    <w:p>
      <w:pPr>
        <w:widowControl/>
        <w:numPr>
          <w:ilvl w:val="0"/>
          <w:numId w:val="6"/>
        </w:numPr>
        <w:wordWrap/>
        <w:autoSpaceDE w:val="0"/>
        <w:autoSpaceDN w:val="0"/>
        <w:adjustRightInd/>
        <w:snapToGrid/>
        <w:spacing w:before="0" w:after="0" w:line="600" w:lineRule="exact"/>
        <w:ind w:left="0" w:leftChars="0" w:right="0" w:firstLine="643" w:firstLineChars="200"/>
        <w:textAlignment w:val="auto"/>
        <w:outlineLvl w:val="9"/>
        <w:rPr>
          <w:rFonts w:hint="eastAsia" w:ascii="仿宋" w:hAnsi="仿宋" w:eastAsia="仿宋" w:cs="仿宋"/>
          <w:spacing w:val="-6"/>
          <w:sz w:val="32"/>
          <w:szCs w:val="22"/>
          <w:lang w:val="zh-CN" w:eastAsia="zh-CN" w:bidi="zh-CN"/>
        </w:rPr>
      </w:pPr>
      <w:r>
        <w:rPr>
          <w:rFonts w:hint="eastAsia" w:ascii="仿宋" w:hAnsi="仿宋" w:eastAsia="仿宋" w:cs="仿宋"/>
          <w:spacing w:val="-6"/>
          <w:sz w:val="32"/>
          <w:szCs w:val="22"/>
          <w:lang w:val="zh-CN" w:eastAsia="zh-CN" w:bidi="zh-CN"/>
        </w:rPr>
        <w:t>农林水支出（21</w:t>
      </w:r>
      <w:r>
        <w:rPr>
          <w:rFonts w:hint="eastAsia" w:ascii="仿宋" w:hAnsi="仿宋" w:eastAsia="仿宋" w:cs="仿宋"/>
          <w:spacing w:val="-6"/>
          <w:sz w:val="32"/>
          <w:szCs w:val="22"/>
          <w:lang w:val="en-US" w:eastAsia="zh-CN" w:bidi="zh-CN"/>
        </w:rPr>
        <w:t>3</w:t>
      </w:r>
      <w:r>
        <w:rPr>
          <w:rFonts w:hint="eastAsia" w:ascii="仿宋" w:hAnsi="仿宋" w:eastAsia="仿宋" w:cs="仿宋"/>
          <w:spacing w:val="-6"/>
          <w:sz w:val="32"/>
          <w:szCs w:val="22"/>
          <w:lang w:val="zh-CN" w:eastAsia="zh-CN" w:bidi="zh-CN"/>
        </w:rPr>
        <w:t>类）农业农村（</w:t>
      </w:r>
      <w:r>
        <w:rPr>
          <w:rFonts w:hint="eastAsia" w:ascii="仿宋" w:hAnsi="仿宋" w:eastAsia="仿宋" w:cs="仿宋"/>
          <w:spacing w:val="-6"/>
          <w:sz w:val="32"/>
          <w:szCs w:val="22"/>
          <w:lang w:val="en-US" w:eastAsia="zh-CN" w:bidi="zh-CN"/>
        </w:rPr>
        <w:t>01</w:t>
      </w:r>
      <w:r>
        <w:rPr>
          <w:rFonts w:hint="eastAsia" w:ascii="仿宋" w:hAnsi="仿宋" w:eastAsia="仿宋" w:cs="仿宋"/>
          <w:spacing w:val="-6"/>
          <w:sz w:val="32"/>
          <w:szCs w:val="22"/>
          <w:lang w:val="zh-CN" w:eastAsia="zh-CN" w:bidi="zh-CN"/>
        </w:rPr>
        <w:t>款）农村社会事业</w:t>
      </w:r>
      <w:r>
        <w:rPr>
          <w:rFonts w:hint="eastAsia" w:ascii="仿宋" w:hAnsi="仿宋" w:eastAsia="仿宋" w:cs="仿宋"/>
          <w:spacing w:val="-6"/>
          <w:sz w:val="32"/>
          <w:szCs w:val="22"/>
          <w:lang w:val="en-US" w:eastAsia="zh-CN" w:bidi="zh-CN"/>
        </w:rPr>
        <w:t xml:space="preserve"> </w:t>
      </w:r>
      <w:r>
        <w:rPr>
          <w:rFonts w:hint="eastAsia" w:ascii="仿宋" w:hAnsi="仿宋" w:eastAsia="仿宋" w:cs="仿宋"/>
          <w:spacing w:val="-6"/>
          <w:sz w:val="32"/>
          <w:szCs w:val="22"/>
          <w:lang w:val="zh-CN" w:eastAsia="zh-CN" w:bidi="zh-CN"/>
        </w:rPr>
        <w:t>（</w:t>
      </w:r>
      <w:r>
        <w:rPr>
          <w:rFonts w:hint="eastAsia" w:ascii="仿宋" w:hAnsi="仿宋" w:eastAsia="仿宋" w:cs="仿宋"/>
          <w:spacing w:val="-6"/>
          <w:sz w:val="32"/>
          <w:szCs w:val="22"/>
          <w:lang w:val="en-US" w:eastAsia="zh-CN" w:bidi="zh-CN"/>
        </w:rPr>
        <w:t>26</w:t>
      </w:r>
      <w:r>
        <w:rPr>
          <w:rFonts w:hint="eastAsia" w:ascii="仿宋" w:hAnsi="仿宋" w:eastAsia="仿宋" w:cs="仿宋"/>
          <w:spacing w:val="-6"/>
          <w:sz w:val="32"/>
          <w:szCs w:val="22"/>
          <w:lang w:val="zh-CN" w:eastAsia="zh-CN" w:bidi="zh-CN"/>
        </w:rPr>
        <w:t>项）年初预算为</w:t>
      </w:r>
      <w:r>
        <w:rPr>
          <w:rFonts w:hint="eastAsia" w:ascii="仿宋" w:hAnsi="仿宋" w:eastAsia="仿宋" w:cs="仿宋"/>
          <w:spacing w:val="-6"/>
          <w:sz w:val="32"/>
          <w:szCs w:val="22"/>
          <w:lang w:val="en-US" w:eastAsia="zh-CN" w:bidi="zh-CN"/>
        </w:rPr>
        <w:t>37.37</w:t>
      </w:r>
      <w:r>
        <w:rPr>
          <w:rFonts w:hint="eastAsia" w:ascii="仿宋" w:hAnsi="仿宋" w:eastAsia="仿宋" w:cs="仿宋"/>
          <w:spacing w:val="-6"/>
          <w:sz w:val="32"/>
          <w:szCs w:val="22"/>
          <w:lang w:val="zh-CN" w:eastAsia="zh-CN" w:bidi="zh-CN"/>
        </w:rPr>
        <w:t>万元，支出决算为</w:t>
      </w:r>
      <w:r>
        <w:rPr>
          <w:rFonts w:hint="eastAsia" w:ascii="仿宋" w:hAnsi="仿宋" w:eastAsia="仿宋" w:cs="仿宋"/>
          <w:spacing w:val="-6"/>
          <w:sz w:val="32"/>
          <w:szCs w:val="22"/>
          <w:lang w:val="en-US" w:eastAsia="zh-CN" w:bidi="zh-CN"/>
        </w:rPr>
        <w:t>38.37</w:t>
      </w:r>
      <w:r>
        <w:rPr>
          <w:rFonts w:hint="eastAsia" w:ascii="仿宋" w:hAnsi="仿宋" w:eastAsia="仿宋" w:cs="仿宋"/>
          <w:spacing w:val="-6"/>
          <w:sz w:val="32"/>
          <w:szCs w:val="22"/>
          <w:lang w:val="zh-CN" w:eastAsia="zh-CN" w:bidi="zh-CN"/>
        </w:rPr>
        <w:t>万元，完成年初预算的</w:t>
      </w:r>
      <w:r>
        <w:rPr>
          <w:rFonts w:hint="eastAsia" w:ascii="仿宋" w:hAnsi="仿宋" w:eastAsia="仿宋" w:cs="仿宋"/>
          <w:spacing w:val="-6"/>
          <w:sz w:val="32"/>
          <w:szCs w:val="22"/>
          <w:lang w:val="en-US" w:eastAsia="zh-CN" w:bidi="zh-CN"/>
        </w:rPr>
        <w:t>100</w:t>
      </w:r>
      <w:r>
        <w:rPr>
          <w:rFonts w:hint="eastAsia" w:ascii="仿宋" w:hAnsi="仿宋" w:eastAsia="仿宋" w:cs="仿宋"/>
          <w:spacing w:val="-6"/>
          <w:sz w:val="32"/>
          <w:szCs w:val="22"/>
          <w:lang w:val="zh-CN" w:eastAsia="zh-CN" w:bidi="zh-CN"/>
        </w:rPr>
        <w:t>%。决算数与年初预算数无差异。</w:t>
      </w:r>
    </w:p>
    <w:p>
      <w:pPr>
        <w:widowControl/>
        <w:numPr>
          <w:ilvl w:val="0"/>
          <w:numId w:val="6"/>
        </w:numPr>
        <w:wordWrap/>
        <w:autoSpaceDE w:val="0"/>
        <w:autoSpaceDN w:val="0"/>
        <w:adjustRightInd/>
        <w:snapToGrid/>
        <w:spacing w:before="0" w:after="0" w:line="600" w:lineRule="exact"/>
        <w:ind w:left="0" w:leftChars="0" w:right="0" w:firstLine="643" w:firstLineChars="200"/>
        <w:textAlignment w:val="auto"/>
        <w:outlineLvl w:val="9"/>
        <w:rPr>
          <w:rFonts w:hint="eastAsia" w:ascii="仿宋" w:hAnsi="仿宋" w:eastAsia="仿宋" w:cs="仿宋"/>
          <w:spacing w:val="-6"/>
          <w:sz w:val="32"/>
          <w:szCs w:val="22"/>
          <w:lang w:val="zh-CN" w:eastAsia="zh-CN" w:bidi="zh-CN"/>
        </w:rPr>
      </w:pPr>
      <w:r>
        <w:rPr>
          <w:rFonts w:hint="eastAsia" w:ascii="仿宋" w:hAnsi="仿宋" w:eastAsia="仿宋" w:cs="仿宋"/>
          <w:spacing w:val="-6"/>
          <w:sz w:val="32"/>
          <w:szCs w:val="22"/>
          <w:lang w:val="zh-CN" w:eastAsia="zh-CN" w:bidi="zh-CN"/>
        </w:rPr>
        <w:t>交通运输支出（21</w:t>
      </w:r>
      <w:r>
        <w:rPr>
          <w:rFonts w:hint="eastAsia" w:ascii="仿宋" w:hAnsi="仿宋" w:eastAsia="仿宋" w:cs="仿宋"/>
          <w:spacing w:val="-6"/>
          <w:sz w:val="32"/>
          <w:szCs w:val="22"/>
          <w:lang w:val="en-US" w:eastAsia="zh-CN" w:bidi="zh-CN"/>
        </w:rPr>
        <w:t>4</w:t>
      </w:r>
      <w:r>
        <w:rPr>
          <w:rFonts w:hint="eastAsia" w:ascii="仿宋" w:hAnsi="仿宋" w:eastAsia="仿宋" w:cs="仿宋"/>
          <w:spacing w:val="-6"/>
          <w:sz w:val="32"/>
          <w:szCs w:val="22"/>
          <w:lang w:val="zh-CN" w:eastAsia="zh-CN" w:bidi="zh-CN"/>
        </w:rPr>
        <w:t>类）车辆购置税支出（</w:t>
      </w:r>
      <w:r>
        <w:rPr>
          <w:rFonts w:hint="eastAsia" w:ascii="仿宋" w:hAnsi="仿宋" w:eastAsia="仿宋" w:cs="仿宋"/>
          <w:spacing w:val="-6"/>
          <w:sz w:val="32"/>
          <w:szCs w:val="22"/>
          <w:lang w:val="en-US" w:eastAsia="zh-CN" w:bidi="zh-CN"/>
        </w:rPr>
        <w:t>06</w:t>
      </w:r>
      <w:r>
        <w:rPr>
          <w:rFonts w:hint="eastAsia" w:ascii="仿宋" w:hAnsi="仿宋" w:eastAsia="仿宋" w:cs="仿宋"/>
          <w:spacing w:val="-6"/>
          <w:sz w:val="32"/>
          <w:szCs w:val="22"/>
          <w:lang w:val="zh-CN" w:eastAsia="zh-CN" w:bidi="zh-CN"/>
        </w:rPr>
        <w:t>款）车辆购置税支出（</w:t>
      </w:r>
      <w:r>
        <w:rPr>
          <w:rFonts w:hint="eastAsia" w:ascii="仿宋" w:hAnsi="仿宋" w:eastAsia="仿宋" w:cs="仿宋"/>
          <w:spacing w:val="-6"/>
          <w:sz w:val="32"/>
          <w:szCs w:val="22"/>
          <w:lang w:val="en-US" w:eastAsia="zh-CN" w:bidi="zh-CN"/>
        </w:rPr>
        <w:t>99</w:t>
      </w:r>
      <w:r>
        <w:rPr>
          <w:rFonts w:hint="eastAsia" w:ascii="仿宋" w:hAnsi="仿宋" w:eastAsia="仿宋" w:cs="仿宋"/>
          <w:spacing w:val="-6"/>
          <w:sz w:val="32"/>
          <w:szCs w:val="22"/>
          <w:lang w:val="zh-CN" w:eastAsia="zh-CN" w:bidi="zh-CN"/>
        </w:rPr>
        <w:t>项）年初预算为</w:t>
      </w:r>
      <w:r>
        <w:rPr>
          <w:rFonts w:hint="eastAsia" w:ascii="仿宋" w:hAnsi="仿宋" w:eastAsia="仿宋" w:cs="仿宋"/>
          <w:spacing w:val="-6"/>
          <w:sz w:val="32"/>
          <w:szCs w:val="22"/>
          <w:lang w:val="en-US" w:eastAsia="zh-CN" w:bidi="zh-CN"/>
        </w:rPr>
        <w:t>208</w:t>
      </w:r>
      <w:r>
        <w:rPr>
          <w:rFonts w:hint="eastAsia" w:ascii="仿宋" w:hAnsi="仿宋" w:eastAsia="仿宋" w:cs="仿宋"/>
          <w:spacing w:val="-6"/>
          <w:sz w:val="32"/>
          <w:szCs w:val="22"/>
          <w:lang w:val="zh-CN" w:eastAsia="zh-CN" w:bidi="zh-CN"/>
        </w:rPr>
        <w:t>万元，支出决算为</w:t>
      </w:r>
      <w:r>
        <w:rPr>
          <w:rFonts w:hint="eastAsia" w:ascii="仿宋" w:hAnsi="仿宋" w:eastAsia="仿宋" w:cs="仿宋"/>
          <w:spacing w:val="-6"/>
          <w:sz w:val="32"/>
          <w:szCs w:val="22"/>
          <w:lang w:val="en-US" w:eastAsia="zh-CN" w:bidi="zh-CN"/>
        </w:rPr>
        <w:t>93.9</w:t>
      </w:r>
      <w:r>
        <w:rPr>
          <w:rFonts w:hint="eastAsia" w:ascii="仿宋" w:hAnsi="仿宋" w:eastAsia="仿宋" w:cs="仿宋"/>
          <w:spacing w:val="-6"/>
          <w:sz w:val="32"/>
          <w:szCs w:val="22"/>
          <w:lang w:val="zh-CN" w:eastAsia="zh-CN" w:bidi="zh-CN"/>
        </w:rPr>
        <w:t>万元，完成年初预算的</w:t>
      </w:r>
      <w:r>
        <w:rPr>
          <w:rFonts w:hint="eastAsia" w:ascii="仿宋" w:hAnsi="仿宋" w:eastAsia="仿宋" w:cs="仿宋"/>
          <w:spacing w:val="-6"/>
          <w:sz w:val="32"/>
          <w:szCs w:val="22"/>
          <w:lang w:val="en-US" w:eastAsia="zh-CN" w:bidi="zh-CN"/>
        </w:rPr>
        <w:t>45</w:t>
      </w:r>
      <w:r>
        <w:rPr>
          <w:rFonts w:hint="eastAsia" w:ascii="仿宋" w:hAnsi="仿宋" w:eastAsia="仿宋" w:cs="仿宋"/>
          <w:spacing w:val="-6"/>
          <w:sz w:val="32"/>
          <w:szCs w:val="22"/>
          <w:lang w:val="zh-CN" w:eastAsia="zh-CN" w:bidi="zh-CN"/>
        </w:rPr>
        <w:t>%。决算数与年初预算数存在差异主要原因是无国三柴油车辆上报信息。</w:t>
      </w:r>
    </w:p>
    <w:p>
      <w:pPr>
        <w:widowControl/>
        <w:numPr>
          <w:ilvl w:val="0"/>
          <w:numId w:val="6"/>
        </w:numPr>
        <w:wordWrap/>
        <w:autoSpaceDE w:val="0"/>
        <w:autoSpaceDN w:val="0"/>
        <w:adjustRightInd/>
        <w:snapToGrid/>
        <w:spacing w:before="0" w:after="0" w:line="600" w:lineRule="exact"/>
        <w:ind w:left="0" w:leftChars="0" w:right="0" w:firstLine="643" w:firstLineChars="200"/>
        <w:textAlignment w:val="auto"/>
        <w:outlineLvl w:val="9"/>
        <w:rPr>
          <w:rFonts w:hint="eastAsia" w:ascii="仿宋" w:hAnsi="仿宋" w:eastAsia="仿宋" w:cs="仿宋"/>
          <w:spacing w:val="-6"/>
          <w:sz w:val="32"/>
          <w:szCs w:val="22"/>
          <w:lang w:val="zh-CN" w:eastAsia="zh-CN" w:bidi="zh-CN"/>
        </w:rPr>
      </w:pPr>
      <w:r>
        <w:rPr>
          <w:rFonts w:hint="eastAsia" w:ascii="仿宋" w:hAnsi="仿宋" w:eastAsia="仿宋" w:cs="仿宋"/>
          <w:spacing w:val="-6"/>
          <w:sz w:val="32"/>
          <w:szCs w:val="22"/>
          <w:lang w:val="zh-CN" w:eastAsia="zh-CN" w:bidi="zh-CN"/>
        </w:rPr>
        <w:t>商业服务支出（21</w:t>
      </w:r>
      <w:r>
        <w:rPr>
          <w:rFonts w:hint="eastAsia" w:ascii="仿宋" w:hAnsi="仿宋" w:eastAsia="仿宋" w:cs="仿宋"/>
          <w:spacing w:val="-6"/>
          <w:sz w:val="32"/>
          <w:szCs w:val="22"/>
          <w:lang w:val="en-US" w:eastAsia="zh-CN" w:bidi="zh-CN"/>
        </w:rPr>
        <w:t>6</w:t>
      </w:r>
      <w:r>
        <w:rPr>
          <w:rFonts w:hint="eastAsia" w:ascii="仿宋" w:hAnsi="仿宋" w:eastAsia="仿宋" w:cs="仿宋"/>
          <w:spacing w:val="-6"/>
          <w:sz w:val="32"/>
          <w:szCs w:val="22"/>
          <w:lang w:val="zh-CN" w:eastAsia="zh-CN" w:bidi="zh-CN"/>
        </w:rPr>
        <w:t>类）其他商业服务（</w:t>
      </w:r>
      <w:r>
        <w:rPr>
          <w:rFonts w:hint="eastAsia" w:ascii="仿宋" w:hAnsi="仿宋" w:eastAsia="仿宋" w:cs="仿宋"/>
          <w:spacing w:val="-6"/>
          <w:sz w:val="32"/>
          <w:szCs w:val="22"/>
          <w:lang w:val="en-US" w:eastAsia="zh-CN" w:bidi="zh-CN"/>
        </w:rPr>
        <w:t>99</w:t>
      </w:r>
      <w:r>
        <w:rPr>
          <w:rFonts w:hint="eastAsia" w:ascii="仿宋" w:hAnsi="仿宋" w:eastAsia="仿宋" w:cs="仿宋"/>
          <w:spacing w:val="-6"/>
          <w:sz w:val="32"/>
          <w:szCs w:val="22"/>
          <w:lang w:val="zh-CN" w:eastAsia="zh-CN" w:bidi="zh-CN"/>
        </w:rPr>
        <w:t>款）其他商业服务支出（</w:t>
      </w:r>
      <w:r>
        <w:rPr>
          <w:rFonts w:hint="eastAsia" w:ascii="仿宋" w:hAnsi="仿宋" w:eastAsia="仿宋" w:cs="仿宋"/>
          <w:spacing w:val="-6"/>
          <w:sz w:val="32"/>
          <w:szCs w:val="22"/>
          <w:lang w:val="en-US" w:eastAsia="zh-CN" w:bidi="zh-CN"/>
        </w:rPr>
        <w:t>99</w:t>
      </w:r>
      <w:r>
        <w:rPr>
          <w:rFonts w:hint="eastAsia" w:ascii="仿宋" w:hAnsi="仿宋" w:eastAsia="仿宋" w:cs="仿宋"/>
          <w:spacing w:val="-6"/>
          <w:sz w:val="32"/>
          <w:szCs w:val="22"/>
          <w:lang w:val="zh-CN" w:eastAsia="zh-CN" w:bidi="zh-CN"/>
        </w:rPr>
        <w:t>项）年初预算为</w:t>
      </w:r>
      <w:r>
        <w:rPr>
          <w:rFonts w:hint="eastAsia" w:ascii="仿宋" w:hAnsi="仿宋" w:eastAsia="仿宋" w:cs="仿宋"/>
          <w:spacing w:val="-6"/>
          <w:sz w:val="32"/>
          <w:szCs w:val="22"/>
          <w:lang w:val="en-US" w:eastAsia="zh-CN" w:bidi="zh-CN"/>
        </w:rPr>
        <w:t>4.08</w:t>
      </w:r>
      <w:r>
        <w:rPr>
          <w:rFonts w:hint="eastAsia" w:ascii="仿宋" w:hAnsi="仿宋" w:eastAsia="仿宋" w:cs="仿宋"/>
          <w:spacing w:val="-6"/>
          <w:sz w:val="32"/>
          <w:szCs w:val="22"/>
          <w:lang w:val="zh-CN" w:eastAsia="zh-CN" w:bidi="zh-CN"/>
        </w:rPr>
        <w:t>万元，支出决算为</w:t>
      </w:r>
      <w:r>
        <w:rPr>
          <w:rFonts w:hint="eastAsia" w:ascii="仿宋" w:hAnsi="仿宋" w:eastAsia="仿宋" w:cs="仿宋"/>
          <w:spacing w:val="-6"/>
          <w:sz w:val="32"/>
          <w:szCs w:val="22"/>
          <w:lang w:val="en-US" w:eastAsia="zh-CN" w:bidi="zh-CN"/>
        </w:rPr>
        <w:t>4.08</w:t>
      </w:r>
      <w:r>
        <w:rPr>
          <w:rFonts w:hint="eastAsia" w:ascii="仿宋" w:hAnsi="仿宋" w:eastAsia="仿宋" w:cs="仿宋"/>
          <w:spacing w:val="-6"/>
          <w:sz w:val="32"/>
          <w:szCs w:val="22"/>
          <w:lang w:val="zh-CN" w:eastAsia="zh-CN" w:bidi="zh-CN"/>
        </w:rPr>
        <w:t>万元，完成年初预算的</w:t>
      </w:r>
      <w:r>
        <w:rPr>
          <w:rFonts w:hint="eastAsia" w:ascii="仿宋" w:hAnsi="仿宋" w:eastAsia="仿宋" w:cs="仿宋"/>
          <w:spacing w:val="-6"/>
          <w:sz w:val="32"/>
          <w:szCs w:val="22"/>
          <w:lang w:val="en-US" w:eastAsia="zh-CN" w:bidi="zh-CN"/>
        </w:rPr>
        <w:t>100</w:t>
      </w:r>
      <w:r>
        <w:rPr>
          <w:rFonts w:hint="eastAsia" w:ascii="仿宋" w:hAnsi="仿宋" w:eastAsia="仿宋" w:cs="仿宋"/>
          <w:spacing w:val="-6"/>
          <w:sz w:val="32"/>
          <w:szCs w:val="22"/>
          <w:lang w:val="zh-CN" w:eastAsia="zh-CN" w:bidi="zh-CN"/>
        </w:rPr>
        <w:t>%。决算数与年初预算数无差异。</w:t>
      </w:r>
    </w:p>
    <w:p>
      <w:pPr>
        <w:widowControl/>
        <w:numPr>
          <w:ilvl w:val="0"/>
          <w:numId w:val="6"/>
        </w:numPr>
        <w:wordWrap/>
        <w:autoSpaceDE w:val="0"/>
        <w:autoSpaceDN w:val="0"/>
        <w:adjustRightInd/>
        <w:snapToGrid/>
        <w:spacing w:before="0" w:after="0" w:line="600" w:lineRule="exact"/>
        <w:ind w:left="0" w:leftChars="0" w:right="0" w:firstLine="643" w:firstLineChars="200"/>
        <w:textAlignment w:val="auto"/>
        <w:outlineLvl w:val="9"/>
        <w:rPr>
          <w:rFonts w:hint="eastAsia" w:ascii="仿宋" w:hAnsi="仿宋" w:eastAsia="仿宋" w:cs="仿宋"/>
          <w:spacing w:val="-6"/>
          <w:sz w:val="32"/>
          <w:szCs w:val="22"/>
          <w:lang w:val="zh-CN" w:eastAsia="zh-CN" w:bidi="zh-CN"/>
        </w:rPr>
      </w:pPr>
      <w:r>
        <w:rPr>
          <w:rFonts w:hint="eastAsia" w:ascii="仿宋" w:hAnsi="仿宋" w:eastAsia="仿宋" w:cs="仿宋"/>
          <w:spacing w:val="-6"/>
          <w:sz w:val="32"/>
          <w:szCs w:val="22"/>
          <w:lang w:val="zh-CN" w:eastAsia="zh-CN" w:bidi="zh-CN"/>
        </w:rPr>
        <w:t>住房保障支出（</w:t>
      </w:r>
      <w:r>
        <w:rPr>
          <w:rFonts w:hint="eastAsia" w:ascii="仿宋" w:hAnsi="仿宋" w:eastAsia="仿宋" w:cs="仿宋"/>
          <w:spacing w:val="-6"/>
          <w:sz w:val="32"/>
          <w:szCs w:val="22"/>
          <w:lang w:val="en-US" w:eastAsia="zh-CN" w:bidi="zh-CN"/>
        </w:rPr>
        <w:t>221</w:t>
      </w:r>
      <w:r>
        <w:rPr>
          <w:rFonts w:hint="eastAsia" w:ascii="仿宋" w:hAnsi="仿宋" w:eastAsia="仿宋" w:cs="仿宋"/>
          <w:spacing w:val="-6"/>
          <w:sz w:val="32"/>
          <w:szCs w:val="22"/>
          <w:lang w:val="zh-CN" w:eastAsia="zh-CN" w:bidi="zh-CN"/>
        </w:rPr>
        <w:t>类）住房改革支出（</w:t>
      </w:r>
      <w:r>
        <w:rPr>
          <w:rFonts w:hint="eastAsia" w:ascii="仿宋" w:hAnsi="仿宋" w:eastAsia="仿宋" w:cs="仿宋"/>
          <w:spacing w:val="-6"/>
          <w:sz w:val="32"/>
          <w:szCs w:val="22"/>
          <w:lang w:val="en-US" w:eastAsia="zh-CN" w:bidi="zh-CN"/>
        </w:rPr>
        <w:t>02</w:t>
      </w:r>
      <w:r>
        <w:rPr>
          <w:rFonts w:hint="eastAsia" w:ascii="仿宋" w:hAnsi="仿宋" w:eastAsia="仿宋" w:cs="仿宋"/>
          <w:spacing w:val="-6"/>
          <w:sz w:val="32"/>
          <w:szCs w:val="22"/>
          <w:lang w:val="zh-CN" w:eastAsia="zh-CN" w:bidi="zh-CN"/>
        </w:rPr>
        <w:t>款）住房公积金</w:t>
      </w:r>
      <w:r>
        <w:rPr>
          <w:rFonts w:hint="eastAsia" w:ascii="仿宋" w:hAnsi="仿宋" w:eastAsia="仿宋" w:cs="仿宋"/>
          <w:spacing w:val="-6"/>
          <w:sz w:val="32"/>
          <w:szCs w:val="22"/>
          <w:lang w:val="en-US" w:eastAsia="zh-CN" w:bidi="zh-CN"/>
        </w:rPr>
        <w:t xml:space="preserve"> </w:t>
      </w:r>
      <w:r>
        <w:rPr>
          <w:rFonts w:hint="eastAsia" w:ascii="仿宋" w:hAnsi="仿宋" w:eastAsia="仿宋" w:cs="仿宋"/>
          <w:spacing w:val="-6"/>
          <w:sz w:val="32"/>
          <w:szCs w:val="22"/>
          <w:lang w:val="zh-CN" w:eastAsia="zh-CN" w:bidi="zh-CN"/>
        </w:rPr>
        <w:t>（</w:t>
      </w:r>
      <w:r>
        <w:rPr>
          <w:rFonts w:hint="eastAsia" w:ascii="仿宋" w:hAnsi="仿宋" w:eastAsia="仿宋" w:cs="仿宋"/>
          <w:spacing w:val="-6"/>
          <w:sz w:val="32"/>
          <w:szCs w:val="22"/>
          <w:lang w:val="en-US" w:eastAsia="zh-CN" w:bidi="zh-CN"/>
        </w:rPr>
        <w:t>01</w:t>
      </w:r>
      <w:r>
        <w:rPr>
          <w:rFonts w:hint="eastAsia" w:ascii="仿宋" w:hAnsi="仿宋" w:eastAsia="仿宋" w:cs="仿宋"/>
          <w:spacing w:val="-6"/>
          <w:sz w:val="32"/>
          <w:szCs w:val="22"/>
          <w:lang w:val="zh-CN" w:eastAsia="zh-CN" w:bidi="zh-CN"/>
        </w:rPr>
        <w:t>项）年初预算为</w:t>
      </w:r>
      <w:r>
        <w:rPr>
          <w:rFonts w:hint="eastAsia" w:ascii="仿宋" w:hAnsi="仿宋" w:eastAsia="仿宋" w:cs="仿宋"/>
          <w:spacing w:val="-6"/>
          <w:sz w:val="32"/>
          <w:szCs w:val="22"/>
          <w:lang w:val="en-US" w:eastAsia="zh-CN" w:bidi="zh-CN"/>
        </w:rPr>
        <w:t>20.05</w:t>
      </w:r>
      <w:r>
        <w:rPr>
          <w:rFonts w:hint="eastAsia" w:ascii="仿宋" w:hAnsi="仿宋" w:eastAsia="仿宋" w:cs="仿宋"/>
          <w:spacing w:val="-6"/>
          <w:sz w:val="32"/>
          <w:szCs w:val="22"/>
          <w:lang w:val="zh-CN" w:eastAsia="zh-CN" w:bidi="zh-CN"/>
        </w:rPr>
        <w:t>万元，支出决算为</w:t>
      </w:r>
      <w:r>
        <w:rPr>
          <w:rFonts w:hint="eastAsia" w:ascii="仿宋" w:hAnsi="仿宋" w:eastAsia="仿宋" w:cs="仿宋"/>
          <w:spacing w:val="-6"/>
          <w:sz w:val="32"/>
          <w:szCs w:val="22"/>
          <w:lang w:val="en-US" w:eastAsia="zh-CN" w:bidi="zh-CN"/>
        </w:rPr>
        <w:t>18.75</w:t>
      </w:r>
      <w:r>
        <w:rPr>
          <w:rFonts w:hint="eastAsia" w:ascii="仿宋" w:hAnsi="仿宋" w:eastAsia="仿宋" w:cs="仿宋"/>
          <w:spacing w:val="-6"/>
          <w:sz w:val="32"/>
          <w:szCs w:val="22"/>
          <w:lang w:val="zh-CN" w:eastAsia="zh-CN" w:bidi="zh-CN"/>
        </w:rPr>
        <w:t>万元，完成年初预算的</w:t>
      </w:r>
      <w:r>
        <w:rPr>
          <w:rFonts w:hint="eastAsia" w:ascii="仿宋" w:hAnsi="仿宋" w:eastAsia="仿宋" w:cs="仿宋"/>
          <w:spacing w:val="-6"/>
          <w:sz w:val="32"/>
          <w:szCs w:val="22"/>
          <w:lang w:val="en-US" w:eastAsia="zh-CN" w:bidi="zh-CN"/>
        </w:rPr>
        <w:t>93</w:t>
      </w:r>
      <w:r>
        <w:rPr>
          <w:rFonts w:hint="eastAsia" w:ascii="仿宋" w:hAnsi="仿宋" w:eastAsia="仿宋" w:cs="仿宋"/>
          <w:spacing w:val="-6"/>
          <w:sz w:val="32"/>
          <w:szCs w:val="22"/>
          <w:lang w:val="zh-CN" w:eastAsia="zh-CN" w:bidi="zh-CN"/>
        </w:rPr>
        <w:t>%。决算数与年初预算数存在差异的主要原因是人员调动。</w:t>
      </w:r>
    </w:p>
    <w:p>
      <w:pPr>
        <w:widowControl/>
        <w:numPr>
          <w:ilvl w:val="0"/>
          <w:numId w:val="6"/>
        </w:numPr>
        <w:wordWrap/>
        <w:autoSpaceDE w:val="0"/>
        <w:autoSpaceDN w:val="0"/>
        <w:adjustRightInd/>
        <w:snapToGrid/>
        <w:spacing w:before="0" w:after="0" w:line="600" w:lineRule="exact"/>
        <w:ind w:left="0" w:leftChars="0" w:right="0" w:firstLine="643" w:firstLineChars="200"/>
        <w:textAlignment w:val="auto"/>
        <w:outlineLvl w:val="9"/>
        <w:rPr>
          <w:rFonts w:hint="eastAsia" w:ascii="仿宋" w:hAnsi="仿宋" w:eastAsia="仿宋" w:cs="仿宋"/>
          <w:spacing w:val="-6"/>
          <w:sz w:val="32"/>
          <w:szCs w:val="22"/>
          <w:lang w:val="zh-CN" w:eastAsia="zh-CN" w:bidi="zh-CN"/>
        </w:rPr>
      </w:pPr>
      <w:r>
        <w:rPr>
          <w:rFonts w:hint="eastAsia" w:ascii="仿宋" w:hAnsi="仿宋" w:eastAsia="仿宋" w:cs="仿宋"/>
          <w:spacing w:val="-6"/>
          <w:sz w:val="32"/>
          <w:szCs w:val="22"/>
          <w:lang w:val="zh-CN" w:eastAsia="zh-CN" w:bidi="zh-CN"/>
        </w:rPr>
        <w:t>住房保障支出（</w:t>
      </w:r>
      <w:r>
        <w:rPr>
          <w:rFonts w:hint="eastAsia" w:ascii="仿宋" w:hAnsi="仿宋" w:eastAsia="仿宋" w:cs="仿宋"/>
          <w:spacing w:val="-6"/>
          <w:sz w:val="32"/>
          <w:szCs w:val="22"/>
          <w:lang w:val="en-US" w:eastAsia="zh-CN" w:bidi="zh-CN"/>
        </w:rPr>
        <w:t>221</w:t>
      </w:r>
      <w:r>
        <w:rPr>
          <w:rFonts w:hint="eastAsia" w:ascii="仿宋" w:hAnsi="仿宋" w:eastAsia="仿宋" w:cs="仿宋"/>
          <w:spacing w:val="-6"/>
          <w:sz w:val="32"/>
          <w:szCs w:val="22"/>
          <w:lang w:val="zh-CN" w:eastAsia="zh-CN" w:bidi="zh-CN"/>
        </w:rPr>
        <w:t>类）城乡社区住宅支出（</w:t>
      </w:r>
      <w:r>
        <w:rPr>
          <w:rFonts w:hint="eastAsia" w:ascii="仿宋" w:hAnsi="仿宋" w:eastAsia="仿宋" w:cs="仿宋"/>
          <w:spacing w:val="-6"/>
          <w:sz w:val="32"/>
          <w:szCs w:val="22"/>
          <w:lang w:val="en-US" w:eastAsia="zh-CN" w:bidi="zh-CN"/>
        </w:rPr>
        <w:t>03</w:t>
      </w:r>
      <w:r>
        <w:rPr>
          <w:rFonts w:hint="eastAsia" w:ascii="仿宋" w:hAnsi="仿宋" w:eastAsia="仿宋" w:cs="仿宋"/>
          <w:spacing w:val="-6"/>
          <w:sz w:val="32"/>
          <w:szCs w:val="22"/>
          <w:lang w:val="zh-CN" w:eastAsia="zh-CN" w:bidi="zh-CN"/>
        </w:rPr>
        <w:t>款）其他城乡社区住宅支出</w:t>
      </w:r>
      <w:r>
        <w:rPr>
          <w:rFonts w:hint="eastAsia" w:ascii="仿宋" w:hAnsi="仿宋" w:eastAsia="仿宋" w:cs="仿宋"/>
          <w:spacing w:val="-6"/>
          <w:sz w:val="32"/>
          <w:szCs w:val="22"/>
          <w:lang w:val="en-US" w:eastAsia="zh-CN" w:bidi="zh-CN"/>
        </w:rPr>
        <w:t xml:space="preserve"> </w:t>
      </w:r>
      <w:r>
        <w:rPr>
          <w:rFonts w:hint="eastAsia" w:ascii="仿宋" w:hAnsi="仿宋" w:eastAsia="仿宋" w:cs="仿宋"/>
          <w:spacing w:val="-6"/>
          <w:sz w:val="32"/>
          <w:szCs w:val="22"/>
          <w:lang w:val="zh-CN" w:eastAsia="zh-CN" w:bidi="zh-CN"/>
        </w:rPr>
        <w:t>（</w:t>
      </w:r>
      <w:r>
        <w:rPr>
          <w:rFonts w:hint="eastAsia" w:ascii="仿宋" w:hAnsi="仿宋" w:eastAsia="仿宋" w:cs="仿宋"/>
          <w:spacing w:val="-6"/>
          <w:sz w:val="32"/>
          <w:szCs w:val="22"/>
          <w:lang w:val="en-US" w:eastAsia="zh-CN" w:bidi="zh-CN"/>
        </w:rPr>
        <w:t>99</w:t>
      </w:r>
      <w:r>
        <w:rPr>
          <w:rFonts w:hint="eastAsia" w:ascii="仿宋" w:hAnsi="仿宋" w:eastAsia="仿宋" w:cs="仿宋"/>
          <w:spacing w:val="-6"/>
          <w:sz w:val="32"/>
          <w:szCs w:val="22"/>
          <w:lang w:val="zh-CN" w:eastAsia="zh-CN" w:bidi="zh-CN"/>
        </w:rPr>
        <w:t>项）年初预算为</w:t>
      </w:r>
      <w:r>
        <w:rPr>
          <w:rFonts w:hint="eastAsia" w:ascii="仿宋" w:hAnsi="仿宋" w:eastAsia="仿宋" w:cs="仿宋"/>
          <w:spacing w:val="-6"/>
          <w:sz w:val="32"/>
          <w:szCs w:val="22"/>
          <w:lang w:val="en-US" w:eastAsia="zh-CN" w:bidi="zh-CN"/>
        </w:rPr>
        <w:t>59.17</w:t>
      </w:r>
      <w:r>
        <w:rPr>
          <w:rFonts w:hint="eastAsia" w:ascii="仿宋" w:hAnsi="仿宋" w:eastAsia="仿宋" w:cs="仿宋"/>
          <w:spacing w:val="-6"/>
          <w:sz w:val="32"/>
          <w:szCs w:val="22"/>
          <w:lang w:val="zh-CN" w:eastAsia="zh-CN" w:bidi="zh-CN"/>
        </w:rPr>
        <w:t>万元，支出决算为</w:t>
      </w:r>
      <w:r>
        <w:rPr>
          <w:rFonts w:hint="eastAsia" w:ascii="仿宋" w:hAnsi="仿宋" w:eastAsia="仿宋" w:cs="仿宋"/>
          <w:spacing w:val="-6"/>
          <w:sz w:val="32"/>
          <w:szCs w:val="22"/>
          <w:lang w:val="en-US" w:eastAsia="zh-CN" w:bidi="zh-CN"/>
        </w:rPr>
        <w:t>59.17</w:t>
      </w:r>
      <w:r>
        <w:rPr>
          <w:rFonts w:hint="eastAsia" w:ascii="仿宋" w:hAnsi="仿宋" w:eastAsia="仿宋" w:cs="仿宋"/>
          <w:spacing w:val="-6"/>
          <w:sz w:val="32"/>
          <w:szCs w:val="22"/>
          <w:lang w:val="zh-CN" w:eastAsia="zh-CN" w:bidi="zh-CN"/>
        </w:rPr>
        <w:t>万元，完成年初预算的</w:t>
      </w:r>
      <w:r>
        <w:rPr>
          <w:rFonts w:hint="eastAsia" w:ascii="仿宋" w:hAnsi="仿宋" w:eastAsia="仿宋" w:cs="仿宋"/>
          <w:spacing w:val="-6"/>
          <w:sz w:val="32"/>
          <w:szCs w:val="22"/>
          <w:lang w:val="en-US" w:eastAsia="zh-CN" w:bidi="zh-CN"/>
        </w:rPr>
        <w:t>100</w:t>
      </w:r>
      <w:r>
        <w:rPr>
          <w:rFonts w:hint="eastAsia" w:ascii="仿宋" w:hAnsi="仿宋" w:eastAsia="仿宋" w:cs="仿宋"/>
          <w:spacing w:val="-6"/>
          <w:sz w:val="32"/>
          <w:szCs w:val="22"/>
          <w:lang w:val="zh-CN" w:eastAsia="zh-CN" w:bidi="zh-CN"/>
        </w:rPr>
        <w:t>%。决算数与年初预算数无差异。</w:t>
      </w:r>
    </w:p>
    <w:p>
      <w:pPr>
        <w:widowControl w:val="0"/>
        <w:numPr>
          <w:ilvl w:val="0"/>
          <w:numId w:val="6"/>
        </w:numPr>
        <w:wordWrap/>
        <w:autoSpaceDE w:val="0"/>
        <w:autoSpaceDN w:val="0"/>
        <w:adjustRightInd/>
        <w:snapToGrid/>
        <w:spacing w:before="0" w:after="0" w:line="600" w:lineRule="exact"/>
        <w:ind w:left="0" w:leftChars="0" w:right="0" w:firstLine="616" w:firstLineChars="200"/>
        <w:jc w:val="left"/>
        <w:textAlignment w:val="auto"/>
        <w:outlineLvl w:val="9"/>
        <w:rPr>
          <w:rFonts w:hint="eastAsia" w:ascii="仿宋" w:hAnsi="仿宋" w:eastAsia="仿宋" w:cs="仿宋"/>
          <w:spacing w:val="-6"/>
          <w:sz w:val="32"/>
          <w:szCs w:val="22"/>
          <w:lang w:val="zh-CN" w:eastAsia="zh-CN" w:bidi="zh-CN"/>
        </w:rPr>
      </w:pPr>
      <w:r>
        <w:rPr>
          <w:rFonts w:hint="eastAsia" w:ascii="仿宋" w:hAnsi="仿宋" w:eastAsia="仿宋" w:cs="仿宋"/>
          <w:spacing w:val="-6"/>
          <w:sz w:val="32"/>
          <w:szCs w:val="22"/>
          <w:lang w:val="zh-CN" w:eastAsia="zh-CN" w:bidi="zh-CN"/>
        </w:rPr>
        <w:t>抗疫特别国债安排的支出（</w:t>
      </w:r>
      <w:r>
        <w:rPr>
          <w:rFonts w:hint="eastAsia" w:ascii="仿宋" w:hAnsi="仿宋" w:eastAsia="仿宋" w:cs="仿宋"/>
          <w:spacing w:val="-6"/>
          <w:sz w:val="32"/>
          <w:szCs w:val="22"/>
          <w:lang w:val="en-US" w:eastAsia="zh-CN" w:bidi="zh-CN"/>
        </w:rPr>
        <w:t>234</w:t>
      </w:r>
      <w:r>
        <w:rPr>
          <w:rFonts w:hint="eastAsia" w:ascii="仿宋" w:hAnsi="仿宋" w:eastAsia="仿宋" w:cs="仿宋"/>
          <w:spacing w:val="-6"/>
          <w:sz w:val="32"/>
          <w:szCs w:val="22"/>
          <w:lang w:val="zh-CN" w:eastAsia="zh-CN" w:bidi="zh-CN"/>
        </w:rPr>
        <w:t>类）基础设施建设（</w:t>
      </w:r>
      <w:r>
        <w:rPr>
          <w:rFonts w:hint="eastAsia" w:ascii="仿宋" w:hAnsi="仿宋" w:eastAsia="仿宋" w:cs="仿宋"/>
          <w:spacing w:val="-6"/>
          <w:sz w:val="32"/>
          <w:szCs w:val="22"/>
          <w:lang w:val="en-US" w:eastAsia="zh-CN" w:bidi="zh-CN"/>
        </w:rPr>
        <w:t>01</w:t>
      </w:r>
      <w:r>
        <w:rPr>
          <w:rFonts w:hint="eastAsia" w:ascii="仿宋" w:hAnsi="仿宋" w:eastAsia="仿宋" w:cs="仿宋"/>
          <w:spacing w:val="-6"/>
          <w:sz w:val="32"/>
          <w:szCs w:val="22"/>
          <w:lang w:val="zh-CN" w:eastAsia="zh-CN" w:bidi="zh-CN"/>
        </w:rPr>
        <w:t>款）交通基础设施建设</w:t>
      </w:r>
      <w:r>
        <w:rPr>
          <w:rFonts w:hint="eastAsia" w:ascii="仿宋" w:hAnsi="仿宋" w:eastAsia="仿宋" w:cs="仿宋"/>
          <w:spacing w:val="-6"/>
          <w:sz w:val="32"/>
          <w:szCs w:val="22"/>
          <w:lang w:val="en-US" w:eastAsia="zh-CN" w:bidi="zh-CN"/>
        </w:rPr>
        <w:t xml:space="preserve"> </w:t>
      </w:r>
      <w:r>
        <w:rPr>
          <w:rFonts w:hint="eastAsia" w:ascii="仿宋" w:hAnsi="仿宋" w:eastAsia="仿宋" w:cs="仿宋"/>
          <w:spacing w:val="-6"/>
          <w:sz w:val="32"/>
          <w:szCs w:val="22"/>
          <w:lang w:val="zh-CN" w:eastAsia="zh-CN" w:bidi="zh-CN"/>
        </w:rPr>
        <w:t>（</w:t>
      </w:r>
      <w:r>
        <w:rPr>
          <w:rFonts w:hint="eastAsia" w:ascii="仿宋" w:hAnsi="仿宋" w:eastAsia="仿宋" w:cs="仿宋"/>
          <w:spacing w:val="-6"/>
          <w:sz w:val="32"/>
          <w:szCs w:val="22"/>
          <w:lang w:val="en-US" w:eastAsia="zh-CN" w:bidi="zh-CN"/>
        </w:rPr>
        <w:t>09</w:t>
      </w:r>
      <w:r>
        <w:rPr>
          <w:rFonts w:hint="eastAsia" w:ascii="仿宋" w:hAnsi="仿宋" w:eastAsia="仿宋" w:cs="仿宋"/>
          <w:spacing w:val="-6"/>
          <w:sz w:val="32"/>
          <w:szCs w:val="22"/>
          <w:lang w:val="zh-CN" w:eastAsia="zh-CN" w:bidi="zh-CN"/>
        </w:rPr>
        <w:t>项）年初预算为</w:t>
      </w:r>
      <w:r>
        <w:rPr>
          <w:rFonts w:hint="eastAsia" w:ascii="仿宋" w:hAnsi="仿宋" w:eastAsia="仿宋" w:cs="仿宋"/>
          <w:spacing w:val="-6"/>
          <w:sz w:val="32"/>
          <w:szCs w:val="22"/>
          <w:lang w:val="en-US" w:eastAsia="zh-CN" w:bidi="zh-CN"/>
        </w:rPr>
        <w:t>200</w:t>
      </w:r>
      <w:r>
        <w:rPr>
          <w:rFonts w:hint="eastAsia" w:ascii="仿宋" w:hAnsi="仿宋" w:eastAsia="仿宋" w:cs="仿宋"/>
          <w:spacing w:val="-6"/>
          <w:sz w:val="32"/>
          <w:szCs w:val="22"/>
          <w:lang w:val="zh-CN" w:eastAsia="zh-CN" w:bidi="zh-CN"/>
        </w:rPr>
        <w:t>万元，支出决算为</w:t>
      </w:r>
      <w:r>
        <w:rPr>
          <w:rFonts w:hint="eastAsia" w:ascii="仿宋" w:hAnsi="仿宋" w:eastAsia="仿宋" w:cs="仿宋"/>
          <w:spacing w:val="-6"/>
          <w:sz w:val="32"/>
          <w:szCs w:val="22"/>
          <w:lang w:val="en-US" w:eastAsia="zh-CN" w:bidi="zh-CN"/>
        </w:rPr>
        <w:t>200</w:t>
      </w:r>
      <w:r>
        <w:rPr>
          <w:rFonts w:hint="eastAsia" w:ascii="仿宋" w:hAnsi="仿宋" w:eastAsia="仿宋" w:cs="仿宋"/>
          <w:spacing w:val="-6"/>
          <w:sz w:val="32"/>
          <w:szCs w:val="22"/>
          <w:lang w:val="zh-CN" w:eastAsia="zh-CN" w:bidi="zh-CN"/>
        </w:rPr>
        <w:t>万元，完成年初预算的</w:t>
      </w:r>
      <w:r>
        <w:rPr>
          <w:rFonts w:hint="eastAsia" w:ascii="仿宋" w:hAnsi="仿宋" w:eastAsia="仿宋" w:cs="仿宋"/>
          <w:spacing w:val="-6"/>
          <w:sz w:val="32"/>
          <w:szCs w:val="22"/>
          <w:lang w:val="en-US" w:eastAsia="zh-CN" w:bidi="zh-CN"/>
        </w:rPr>
        <w:t>100</w:t>
      </w:r>
      <w:r>
        <w:rPr>
          <w:rFonts w:hint="eastAsia" w:ascii="仿宋" w:hAnsi="仿宋" w:eastAsia="仿宋" w:cs="仿宋"/>
          <w:spacing w:val="-6"/>
          <w:sz w:val="32"/>
          <w:szCs w:val="22"/>
          <w:lang w:val="zh-CN" w:eastAsia="zh-CN" w:bidi="zh-CN"/>
        </w:rPr>
        <w:t>%。决算数与年初预算数无差异。</w:t>
      </w:r>
    </w:p>
    <w:p>
      <w:pPr>
        <w:widowControl w:val="0"/>
        <w:numPr>
          <w:ilvl w:val="0"/>
          <w:numId w:val="6"/>
        </w:numPr>
        <w:wordWrap/>
        <w:autoSpaceDE w:val="0"/>
        <w:autoSpaceDN w:val="0"/>
        <w:adjustRightInd/>
        <w:snapToGrid/>
        <w:spacing w:before="0" w:after="0" w:line="600" w:lineRule="exact"/>
        <w:ind w:left="0" w:leftChars="0" w:right="0" w:firstLine="616" w:firstLineChars="200"/>
        <w:jc w:val="left"/>
        <w:textAlignment w:val="auto"/>
        <w:outlineLvl w:val="9"/>
        <w:rPr>
          <w:rFonts w:hint="eastAsia" w:ascii="仿宋" w:hAnsi="仿宋" w:eastAsia="仿宋" w:cs="仿宋"/>
          <w:spacing w:val="-6"/>
          <w:sz w:val="32"/>
          <w:szCs w:val="22"/>
          <w:lang w:val="zh-CN" w:eastAsia="zh-CN" w:bidi="zh-CN"/>
        </w:rPr>
      </w:pPr>
      <w:r>
        <w:rPr>
          <w:rFonts w:hint="eastAsia" w:ascii="仿宋" w:hAnsi="仿宋" w:eastAsia="仿宋" w:cs="仿宋"/>
          <w:spacing w:val="-6"/>
          <w:sz w:val="32"/>
          <w:szCs w:val="22"/>
          <w:lang w:val="zh-CN" w:eastAsia="zh-CN" w:bidi="zh-CN"/>
        </w:rPr>
        <w:t>抗疫特别国债安排的支出（2</w:t>
      </w:r>
      <w:r>
        <w:rPr>
          <w:rFonts w:hint="eastAsia" w:ascii="仿宋" w:hAnsi="仿宋" w:eastAsia="仿宋" w:cs="仿宋"/>
          <w:spacing w:val="-6"/>
          <w:sz w:val="32"/>
          <w:szCs w:val="22"/>
          <w:lang w:val="en-US" w:eastAsia="zh-CN" w:bidi="zh-CN"/>
        </w:rPr>
        <w:t>34</w:t>
      </w:r>
      <w:r>
        <w:rPr>
          <w:rFonts w:hint="eastAsia" w:ascii="仿宋" w:hAnsi="仿宋" w:eastAsia="仿宋" w:cs="仿宋"/>
          <w:spacing w:val="-6"/>
          <w:sz w:val="32"/>
          <w:szCs w:val="22"/>
          <w:lang w:val="zh-CN" w:eastAsia="zh-CN" w:bidi="zh-CN"/>
        </w:rPr>
        <w:t>类）基础设施建设（</w:t>
      </w:r>
      <w:r>
        <w:rPr>
          <w:rFonts w:hint="eastAsia" w:ascii="仿宋" w:hAnsi="仿宋" w:eastAsia="仿宋" w:cs="仿宋"/>
          <w:spacing w:val="-6"/>
          <w:sz w:val="32"/>
          <w:szCs w:val="22"/>
          <w:lang w:val="en-US" w:eastAsia="zh-CN" w:bidi="zh-CN"/>
        </w:rPr>
        <w:t>01</w:t>
      </w:r>
      <w:r>
        <w:rPr>
          <w:rFonts w:hint="eastAsia" w:ascii="仿宋" w:hAnsi="仿宋" w:eastAsia="仿宋" w:cs="仿宋"/>
          <w:spacing w:val="-6"/>
          <w:sz w:val="32"/>
          <w:szCs w:val="22"/>
          <w:lang w:val="zh-CN" w:eastAsia="zh-CN" w:bidi="zh-CN"/>
        </w:rPr>
        <w:t>款）市政施设建设（</w:t>
      </w:r>
      <w:r>
        <w:rPr>
          <w:rFonts w:hint="eastAsia" w:ascii="仿宋" w:hAnsi="仿宋" w:eastAsia="仿宋" w:cs="仿宋"/>
          <w:spacing w:val="-6"/>
          <w:sz w:val="32"/>
          <w:szCs w:val="22"/>
          <w:lang w:val="en-US" w:eastAsia="zh-CN" w:bidi="zh-CN"/>
        </w:rPr>
        <w:t>10</w:t>
      </w:r>
      <w:r>
        <w:rPr>
          <w:rFonts w:hint="eastAsia" w:ascii="仿宋" w:hAnsi="仿宋" w:eastAsia="仿宋" w:cs="仿宋"/>
          <w:spacing w:val="-6"/>
          <w:sz w:val="32"/>
          <w:szCs w:val="22"/>
          <w:lang w:val="zh-CN" w:eastAsia="zh-CN" w:bidi="zh-CN"/>
        </w:rPr>
        <w:t>项）年初预算为</w:t>
      </w:r>
      <w:r>
        <w:rPr>
          <w:rFonts w:hint="eastAsia" w:ascii="仿宋" w:hAnsi="仿宋" w:eastAsia="仿宋" w:cs="仿宋"/>
          <w:spacing w:val="-6"/>
          <w:sz w:val="32"/>
          <w:szCs w:val="22"/>
          <w:lang w:val="en-US" w:eastAsia="zh-CN" w:bidi="zh-CN"/>
        </w:rPr>
        <w:t>150</w:t>
      </w:r>
      <w:r>
        <w:rPr>
          <w:rFonts w:hint="eastAsia" w:ascii="仿宋" w:hAnsi="仿宋" w:eastAsia="仿宋" w:cs="仿宋"/>
          <w:spacing w:val="-6"/>
          <w:sz w:val="32"/>
          <w:szCs w:val="22"/>
          <w:lang w:val="zh-CN" w:eastAsia="zh-CN" w:bidi="zh-CN"/>
        </w:rPr>
        <w:t>万元，支出决算为</w:t>
      </w:r>
      <w:r>
        <w:rPr>
          <w:rFonts w:hint="eastAsia" w:ascii="仿宋" w:hAnsi="仿宋" w:eastAsia="仿宋" w:cs="仿宋"/>
          <w:spacing w:val="-6"/>
          <w:sz w:val="32"/>
          <w:szCs w:val="22"/>
          <w:lang w:val="en-US" w:eastAsia="zh-CN" w:bidi="zh-CN"/>
        </w:rPr>
        <w:t>150</w:t>
      </w:r>
      <w:r>
        <w:rPr>
          <w:rFonts w:hint="eastAsia" w:ascii="仿宋" w:hAnsi="仿宋" w:eastAsia="仿宋" w:cs="仿宋"/>
          <w:spacing w:val="-6"/>
          <w:sz w:val="32"/>
          <w:szCs w:val="22"/>
          <w:lang w:val="zh-CN" w:eastAsia="zh-CN" w:bidi="zh-CN"/>
        </w:rPr>
        <w:t>万元，完成年初预算的</w:t>
      </w:r>
      <w:r>
        <w:rPr>
          <w:rFonts w:hint="eastAsia" w:ascii="仿宋" w:hAnsi="仿宋" w:eastAsia="仿宋" w:cs="仿宋"/>
          <w:spacing w:val="-6"/>
          <w:sz w:val="32"/>
          <w:szCs w:val="22"/>
          <w:lang w:val="en-US" w:eastAsia="zh-CN" w:bidi="zh-CN"/>
        </w:rPr>
        <w:t>100</w:t>
      </w:r>
      <w:r>
        <w:rPr>
          <w:rFonts w:hint="eastAsia" w:ascii="仿宋" w:hAnsi="仿宋" w:eastAsia="仿宋" w:cs="仿宋"/>
          <w:spacing w:val="-6"/>
          <w:sz w:val="32"/>
          <w:szCs w:val="22"/>
          <w:lang w:val="zh-CN" w:eastAsia="zh-CN" w:bidi="zh-CN"/>
        </w:rPr>
        <w:t>%。决算数与年初预算数无差异。</w:t>
      </w:r>
    </w:p>
    <w:p>
      <w:pPr>
        <w:widowControl/>
        <w:numPr>
          <w:ilvl w:val="0"/>
          <w:numId w:val="6"/>
        </w:numPr>
        <w:wordWrap/>
        <w:autoSpaceDE w:val="0"/>
        <w:autoSpaceDN w:val="0"/>
        <w:adjustRightInd/>
        <w:snapToGrid/>
        <w:spacing w:before="0" w:after="0" w:line="600" w:lineRule="exact"/>
        <w:ind w:left="0" w:leftChars="0" w:right="0" w:firstLine="643" w:firstLineChars="200"/>
        <w:textAlignment w:val="auto"/>
        <w:outlineLvl w:val="9"/>
        <w:rPr>
          <w:rFonts w:hint="eastAsia" w:ascii="仿宋" w:hAnsi="仿宋" w:eastAsia="仿宋" w:cs="仿宋"/>
          <w:spacing w:val="-6"/>
          <w:sz w:val="32"/>
          <w:szCs w:val="22"/>
          <w:lang w:val="zh-CN" w:eastAsia="zh-CN" w:bidi="zh-CN"/>
        </w:rPr>
      </w:pPr>
      <w:r>
        <w:rPr>
          <w:rFonts w:hint="eastAsia" w:ascii="仿宋" w:hAnsi="仿宋" w:eastAsia="仿宋" w:cs="仿宋"/>
          <w:spacing w:val="-6"/>
          <w:sz w:val="32"/>
          <w:szCs w:val="22"/>
          <w:lang w:val="zh-CN" w:eastAsia="zh-CN" w:bidi="zh-CN"/>
        </w:rPr>
        <w:t>抗疫特别国债安排的支出（2</w:t>
      </w:r>
      <w:r>
        <w:rPr>
          <w:rFonts w:hint="eastAsia" w:ascii="仿宋" w:hAnsi="仿宋" w:eastAsia="仿宋" w:cs="仿宋"/>
          <w:spacing w:val="-6"/>
          <w:sz w:val="32"/>
          <w:szCs w:val="22"/>
          <w:lang w:val="en-US" w:eastAsia="zh-CN" w:bidi="zh-CN"/>
        </w:rPr>
        <w:t>34</w:t>
      </w:r>
      <w:r>
        <w:rPr>
          <w:rFonts w:hint="eastAsia" w:ascii="仿宋" w:hAnsi="仿宋" w:eastAsia="仿宋" w:cs="仿宋"/>
          <w:spacing w:val="-6"/>
          <w:sz w:val="32"/>
          <w:szCs w:val="22"/>
          <w:lang w:val="zh-CN" w:eastAsia="zh-CN" w:bidi="zh-CN"/>
        </w:rPr>
        <w:t>类）基础设施建设（</w:t>
      </w:r>
      <w:r>
        <w:rPr>
          <w:rFonts w:hint="eastAsia" w:ascii="仿宋" w:hAnsi="仿宋" w:eastAsia="仿宋" w:cs="仿宋"/>
          <w:spacing w:val="-6"/>
          <w:sz w:val="32"/>
          <w:szCs w:val="22"/>
          <w:lang w:val="en-US" w:eastAsia="zh-CN" w:bidi="zh-CN"/>
        </w:rPr>
        <w:t>01</w:t>
      </w:r>
      <w:r>
        <w:rPr>
          <w:rFonts w:hint="eastAsia" w:ascii="仿宋" w:hAnsi="仿宋" w:eastAsia="仿宋" w:cs="仿宋"/>
          <w:spacing w:val="-6"/>
          <w:sz w:val="32"/>
          <w:szCs w:val="22"/>
          <w:lang w:val="zh-CN" w:eastAsia="zh-CN" w:bidi="zh-CN"/>
        </w:rPr>
        <w:t>款）其他基础施设建设（</w:t>
      </w:r>
      <w:r>
        <w:rPr>
          <w:rFonts w:hint="eastAsia" w:ascii="仿宋" w:hAnsi="仿宋" w:eastAsia="仿宋" w:cs="仿宋"/>
          <w:spacing w:val="-6"/>
          <w:sz w:val="32"/>
          <w:szCs w:val="22"/>
          <w:lang w:val="en-US" w:eastAsia="zh-CN" w:bidi="zh-CN"/>
        </w:rPr>
        <w:t>99</w:t>
      </w:r>
      <w:r>
        <w:rPr>
          <w:rFonts w:hint="eastAsia" w:ascii="仿宋" w:hAnsi="仿宋" w:eastAsia="仿宋" w:cs="仿宋"/>
          <w:spacing w:val="-6"/>
          <w:sz w:val="32"/>
          <w:szCs w:val="22"/>
          <w:lang w:val="zh-CN" w:eastAsia="zh-CN" w:bidi="zh-CN"/>
        </w:rPr>
        <w:t>项）年初预算为</w:t>
      </w:r>
      <w:r>
        <w:rPr>
          <w:rFonts w:hint="eastAsia" w:ascii="仿宋" w:hAnsi="仿宋" w:eastAsia="仿宋" w:cs="仿宋"/>
          <w:spacing w:val="-6"/>
          <w:sz w:val="32"/>
          <w:szCs w:val="22"/>
          <w:lang w:val="en-US" w:eastAsia="zh-CN" w:bidi="zh-CN"/>
        </w:rPr>
        <w:t>100</w:t>
      </w:r>
      <w:r>
        <w:rPr>
          <w:rFonts w:hint="eastAsia" w:ascii="仿宋" w:hAnsi="仿宋" w:eastAsia="仿宋" w:cs="仿宋"/>
          <w:spacing w:val="-6"/>
          <w:sz w:val="32"/>
          <w:szCs w:val="22"/>
          <w:lang w:val="zh-CN" w:eastAsia="zh-CN" w:bidi="zh-CN"/>
        </w:rPr>
        <w:t>万元，支出决算为</w:t>
      </w:r>
      <w:r>
        <w:rPr>
          <w:rFonts w:hint="eastAsia" w:ascii="仿宋" w:hAnsi="仿宋" w:eastAsia="仿宋" w:cs="仿宋"/>
          <w:spacing w:val="-6"/>
          <w:sz w:val="32"/>
          <w:szCs w:val="22"/>
          <w:lang w:val="en-US" w:eastAsia="zh-CN" w:bidi="zh-CN"/>
        </w:rPr>
        <w:t>100</w:t>
      </w:r>
      <w:r>
        <w:rPr>
          <w:rFonts w:hint="eastAsia" w:ascii="仿宋" w:hAnsi="仿宋" w:eastAsia="仿宋" w:cs="仿宋"/>
          <w:spacing w:val="-6"/>
          <w:sz w:val="32"/>
          <w:szCs w:val="22"/>
          <w:lang w:val="zh-CN" w:eastAsia="zh-CN" w:bidi="zh-CN"/>
        </w:rPr>
        <w:t>万元，完成年初预算的</w:t>
      </w:r>
      <w:r>
        <w:rPr>
          <w:rFonts w:hint="eastAsia" w:ascii="仿宋" w:hAnsi="仿宋" w:eastAsia="仿宋" w:cs="仿宋"/>
          <w:spacing w:val="-6"/>
          <w:sz w:val="32"/>
          <w:szCs w:val="22"/>
          <w:lang w:val="en-US" w:eastAsia="zh-CN" w:bidi="zh-CN"/>
        </w:rPr>
        <w:t>100</w:t>
      </w:r>
      <w:r>
        <w:rPr>
          <w:rFonts w:hint="eastAsia" w:ascii="仿宋" w:hAnsi="仿宋" w:eastAsia="仿宋" w:cs="仿宋"/>
          <w:spacing w:val="-6"/>
          <w:sz w:val="32"/>
          <w:szCs w:val="22"/>
          <w:lang w:val="zh-CN" w:eastAsia="zh-CN" w:bidi="zh-CN"/>
        </w:rPr>
        <w:t>%。决算数与年初预算数无差异。</w:t>
      </w:r>
    </w:p>
    <w:p>
      <w:pPr>
        <w:wordWrap/>
        <w:autoSpaceDE w:val="0"/>
        <w:autoSpaceDN w:val="0"/>
        <w:adjustRightInd/>
        <w:snapToGrid/>
        <w:spacing w:before="0" w:after="0" w:line="600" w:lineRule="exact"/>
        <w:ind w:left="0" w:leftChars="0" w:right="0"/>
        <w:textAlignment w:val="auto"/>
        <w:outlineLvl w:val="9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>六、一般公共预算财政拨款基本支出决算情况说明</w:t>
      </w:r>
    </w:p>
    <w:p>
      <w:pPr>
        <w:pStyle w:val="3"/>
        <w:wordWrap/>
        <w:autoSpaceDE w:val="0"/>
        <w:autoSpaceDN w:val="0"/>
        <w:adjustRightInd/>
        <w:snapToGrid/>
        <w:spacing w:before="0" w:after="0" w:line="600" w:lineRule="exact"/>
        <w:ind w:left="0" w:leftChars="0" w:right="0" w:firstLine="640"/>
        <w:jc w:val="both"/>
        <w:textAlignment w:val="auto"/>
        <w:outlineLvl w:val="9"/>
      </w:pPr>
      <w:r>
        <w:rPr>
          <w:rFonts w:ascii="Times New Roman" w:eastAsia="Times New Roman"/>
        </w:rPr>
        <w:t xml:space="preserve">2020 </w:t>
      </w:r>
      <w:r>
        <w:rPr>
          <w:spacing w:val="-5"/>
        </w:rPr>
        <w:t>年度一般公共预算财政拨款基本支出</w:t>
      </w:r>
      <w:r>
        <w:rPr>
          <w:rFonts w:hint="eastAsia" w:ascii="Times New Roman" w:eastAsia="宋体"/>
          <w:lang w:val="en-US" w:eastAsia="zh-CN"/>
        </w:rPr>
        <w:t>438.55</w:t>
      </w:r>
      <w:r>
        <w:t>万元。</w:t>
      </w:r>
      <w:r>
        <w:rPr>
          <w:spacing w:val="-8"/>
        </w:rPr>
        <w:t>与上年度相比，减少</w:t>
      </w:r>
      <w:r>
        <w:rPr>
          <w:rFonts w:hint="eastAsia" w:ascii="Times New Roman" w:eastAsia="宋体"/>
          <w:lang w:val="en-US" w:eastAsia="zh-CN"/>
        </w:rPr>
        <w:t>47.01</w:t>
      </w:r>
      <w:r>
        <w:rPr>
          <w:spacing w:val="-14"/>
        </w:rPr>
        <w:t>万元，下降</w:t>
      </w:r>
      <w:r>
        <w:rPr>
          <w:rFonts w:hint="eastAsia" w:ascii="Times New Roman" w:eastAsia="宋体"/>
          <w:lang w:val="en-US" w:eastAsia="zh-CN"/>
        </w:rPr>
        <w:t>11</w:t>
      </w:r>
      <w:r>
        <w:rPr>
          <w:rFonts w:ascii="Times New Roman" w:eastAsia="Times New Roman"/>
        </w:rPr>
        <w:t>%</w:t>
      </w:r>
      <w:r>
        <w:t>。减少的原因是</w:t>
      </w:r>
      <w:r>
        <w:rPr>
          <w:rFonts w:hint="eastAsia"/>
          <w:lang w:eastAsia="zh-CN"/>
        </w:rPr>
        <w:t>单位合并人员转隶。</w:t>
      </w:r>
      <w:r>
        <w:rPr>
          <w:spacing w:val="-3"/>
        </w:rPr>
        <w:t>公用经费支出</w:t>
      </w:r>
      <w:r>
        <w:rPr>
          <w:spacing w:val="-16"/>
        </w:rPr>
        <w:t>较上年减少</w:t>
      </w:r>
      <w:r>
        <w:rPr>
          <w:rFonts w:hint="eastAsia" w:ascii="Times New Roman" w:eastAsia="宋体"/>
          <w:lang w:val="en-US" w:eastAsia="zh-CN"/>
        </w:rPr>
        <w:t>39.18</w:t>
      </w:r>
      <w:r>
        <w:rPr>
          <w:spacing w:val="-14"/>
        </w:rPr>
        <w:t>万元，下降</w:t>
      </w:r>
      <w:r>
        <w:rPr>
          <w:rFonts w:hint="eastAsia" w:ascii="Times New Roman" w:eastAsia="宋体"/>
          <w:lang w:val="en-US" w:eastAsia="zh-CN"/>
        </w:rPr>
        <w:t>33</w:t>
      </w:r>
      <w:r>
        <w:rPr>
          <w:rFonts w:ascii="Times New Roman" w:eastAsia="Times New Roman"/>
        </w:rPr>
        <w:t>%</w:t>
      </w:r>
      <w:r>
        <w:t>。其中：</w:t>
      </w:r>
    </w:p>
    <w:p>
      <w:pPr>
        <w:pStyle w:val="3"/>
        <w:wordWrap/>
        <w:autoSpaceDE w:val="0"/>
        <w:autoSpaceDN w:val="0"/>
        <w:adjustRightInd/>
        <w:snapToGrid/>
        <w:spacing w:before="0" w:after="0" w:line="600" w:lineRule="exact"/>
        <w:ind w:left="0" w:leftChars="0" w:right="0" w:firstLine="640"/>
        <w:textAlignment w:val="auto"/>
        <w:outlineLvl w:val="9"/>
      </w:pPr>
      <w:r>
        <w:rPr>
          <w:spacing w:val="7"/>
        </w:rPr>
        <w:t>（一）</w:t>
      </w:r>
      <w:r>
        <w:rPr>
          <w:spacing w:val="-13"/>
        </w:rPr>
        <w:t>人员经费</w:t>
      </w:r>
      <w:r>
        <w:rPr>
          <w:rFonts w:hint="eastAsia" w:ascii="Times New Roman" w:eastAsia="宋体"/>
          <w:lang w:val="en-US" w:eastAsia="zh-CN"/>
        </w:rPr>
        <w:t>358.3</w:t>
      </w:r>
      <w:r>
        <w:rPr>
          <w:spacing w:val="6"/>
        </w:rPr>
        <w:t>万元，主要包括：基本工资</w:t>
      </w:r>
      <w:r>
        <w:rPr>
          <w:rFonts w:hint="eastAsia"/>
          <w:spacing w:val="6"/>
          <w:lang w:val="en-US" w:eastAsia="zh-CN"/>
        </w:rPr>
        <w:t>144.95</w:t>
      </w:r>
      <w:r>
        <w:rPr>
          <w:spacing w:val="-14"/>
        </w:rPr>
        <w:t>万元</w:t>
      </w:r>
      <w:r>
        <w:rPr>
          <w:spacing w:val="6"/>
        </w:rPr>
        <w:t>、津</w:t>
      </w:r>
      <w:r>
        <w:rPr>
          <w:spacing w:val="-10"/>
        </w:rPr>
        <w:t>贴补贴</w:t>
      </w:r>
      <w:r>
        <w:rPr>
          <w:rFonts w:hint="eastAsia"/>
          <w:spacing w:val="-10"/>
          <w:lang w:val="en-US" w:eastAsia="zh-CN"/>
        </w:rPr>
        <w:t>119.98</w:t>
      </w:r>
      <w:r>
        <w:rPr>
          <w:spacing w:val="-14"/>
        </w:rPr>
        <w:t>万元</w:t>
      </w:r>
      <w:r>
        <w:rPr>
          <w:spacing w:val="-10"/>
        </w:rPr>
        <w:t>、奖金</w:t>
      </w:r>
      <w:r>
        <w:rPr>
          <w:rFonts w:hint="eastAsia"/>
          <w:spacing w:val="-10"/>
          <w:lang w:val="en-US" w:eastAsia="zh-CN"/>
        </w:rPr>
        <w:t>9.53</w:t>
      </w:r>
      <w:r>
        <w:rPr>
          <w:spacing w:val="-14"/>
        </w:rPr>
        <w:t>万元</w:t>
      </w:r>
      <w:r>
        <w:rPr>
          <w:spacing w:val="-10"/>
        </w:rPr>
        <w:t>、绩效工资</w:t>
      </w:r>
      <w:r>
        <w:rPr>
          <w:rFonts w:hint="eastAsia"/>
          <w:spacing w:val="-10"/>
          <w:lang w:val="en-US" w:eastAsia="zh-CN"/>
        </w:rPr>
        <w:t>17.89</w:t>
      </w:r>
      <w:r>
        <w:rPr>
          <w:spacing w:val="-14"/>
        </w:rPr>
        <w:t>万元</w:t>
      </w:r>
      <w:r>
        <w:rPr>
          <w:spacing w:val="-10"/>
        </w:rPr>
        <w:t>、机关事业单位基本养老</w:t>
      </w:r>
      <w:r>
        <w:rPr>
          <w:spacing w:val="-14"/>
        </w:rPr>
        <w:t>保险缴费</w:t>
      </w:r>
      <w:r>
        <w:rPr>
          <w:rFonts w:hint="eastAsia"/>
          <w:spacing w:val="-14"/>
          <w:lang w:val="en-US" w:eastAsia="zh-CN"/>
        </w:rPr>
        <w:t>24.02</w:t>
      </w:r>
      <w:r>
        <w:rPr>
          <w:spacing w:val="-14"/>
        </w:rPr>
        <w:t>万元、职业年金缴费</w:t>
      </w:r>
      <w:r>
        <w:rPr>
          <w:rFonts w:hint="eastAsia"/>
          <w:spacing w:val="-14"/>
          <w:lang w:val="en-US" w:eastAsia="zh-CN"/>
        </w:rPr>
        <w:t>3.94</w:t>
      </w:r>
      <w:r>
        <w:rPr>
          <w:spacing w:val="-14"/>
        </w:rPr>
        <w:t>万元、职工基本医疗保险缴费</w:t>
      </w:r>
      <w:r>
        <w:rPr>
          <w:rFonts w:hint="eastAsia"/>
          <w:spacing w:val="-14"/>
          <w:lang w:val="en-US" w:eastAsia="zh-CN"/>
        </w:rPr>
        <w:t>12.81</w:t>
      </w:r>
      <w:r>
        <w:rPr>
          <w:spacing w:val="-14"/>
        </w:rPr>
        <w:t>万元、公务员医疗</w:t>
      </w:r>
      <w:r>
        <w:rPr>
          <w:spacing w:val="-20"/>
          <w:w w:val="95"/>
        </w:rPr>
        <w:t>补助缴费</w:t>
      </w:r>
      <w:r>
        <w:rPr>
          <w:rFonts w:hint="eastAsia"/>
          <w:spacing w:val="-20"/>
          <w:w w:val="95"/>
          <w:lang w:val="en-US" w:eastAsia="zh-CN"/>
        </w:rPr>
        <w:t>6.43</w:t>
      </w:r>
      <w:r>
        <w:rPr>
          <w:spacing w:val="-14"/>
        </w:rPr>
        <w:t>万元</w:t>
      </w:r>
      <w:r>
        <w:rPr>
          <w:spacing w:val="-20"/>
          <w:w w:val="95"/>
        </w:rPr>
        <w:t>、住房公积金</w:t>
      </w:r>
      <w:r>
        <w:rPr>
          <w:rFonts w:hint="eastAsia"/>
          <w:spacing w:val="-20"/>
          <w:w w:val="95"/>
          <w:lang w:val="en-US" w:eastAsia="zh-CN"/>
        </w:rPr>
        <w:t>18.75</w:t>
      </w:r>
      <w:r>
        <w:rPr>
          <w:spacing w:val="-14"/>
        </w:rPr>
        <w:t>万元</w:t>
      </w:r>
      <w:r>
        <w:rPr>
          <w:spacing w:val="-20"/>
          <w:w w:val="95"/>
        </w:rPr>
        <w:t>、</w:t>
      </w:r>
      <w:r>
        <w:rPr>
          <w:spacing w:val="-14"/>
        </w:rPr>
        <w:t>退休费</w:t>
      </w:r>
      <w:r>
        <w:rPr>
          <w:rFonts w:hint="eastAsia"/>
          <w:spacing w:val="-14"/>
          <w:lang w:val="en-US" w:eastAsia="zh-CN"/>
        </w:rPr>
        <w:t>80.06</w:t>
      </w:r>
      <w:r>
        <w:rPr>
          <w:spacing w:val="-14"/>
        </w:rPr>
        <w:t>万元、奖励金</w:t>
      </w:r>
      <w:r>
        <w:rPr>
          <w:rFonts w:hint="eastAsia"/>
          <w:spacing w:val="-14"/>
          <w:lang w:val="en-US" w:eastAsia="zh-CN"/>
        </w:rPr>
        <w:t>0.19</w:t>
      </w:r>
      <w:r>
        <w:rPr>
          <w:spacing w:val="-14"/>
        </w:rPr>
        <w:t>万元；</w:t>
      </w:r>
    </w:p>
    <w:p>
      <w:pPr>
        <w:pStyle w:val="3"/>
        <w:wordWrap/>
        <w:autoSpaceDE w:val="0"/>
        <w:autoSpaceDN w:val="0"/>
        <w:adjustRightInd/>
        <w:snapToGrid/>
        <w:spacing w:before="0" w:after="0" w:line="600" w:lineRule="exact"/>
        <w:ind w:left="0" w:leftChars="0" w:right="0" w:firstLine="640"/>
        <w:jc w:val="both"/>
        <w:textAlignment w:val="auto"/>
        <w:outlineLvl w:val="9"/>
      </w:pPr>
      <w:r>
        <w:t>（二</w:t>
      </w:r>
      <w:r>
        <w:rPr>
          <w:spacing w:val="-67"/>
        </w:rPr>
        <w:t>）</w:t>
      </w:r>
      <w:r>
        <w:rPr>
          <w:spacing w:val="-2"/>
        </w:rPr>
        <w:t>公用经费</w:t>
      </w:r>
      <w:r>
        <w:rPr>
          <w:rFonts w:hint="eastAsia" w:ascii="Times New Roman" w:eastAsia="宋体"/>
          <w:lang w:val="en-US" w:eastAsia="zh-CN"/>
        </w:rPr>
        <w:t>13.11</w:t>
      </w:r>
      <w:r>
        <w:rPr>
          <w:spacing w:val="-16"/>
        </w:rPr>
        <w:t>万元，主要包括：办公费</w:t>
      </w:r>
      <w:r>
        <w:rPr>
          <w:rFonts w:hint="eastAsia"/>
          <w:spacing w:val="-16"/>
          <w:lang w:val="en-US" w:eastAsia="zh-CN"/>
        </w:rPr>
        <w:t>4.29</w:t>
      </w:r>
      <w:r>
        <w:rPr>
          <w:spacing w:val="-14"/>
        </w:rPr>
        <w:t>万元</w:t>
      </w:r>
      <w:r>
        <w:rPr>
          <w:spacing w:val="-16"/>
        </w:rPr>
        <w:t>、</w:t>
      </w:r>
      <w:r>
        <w:rPr>
          <w:spacing w:val="-29"/>
          <w:w w:val="95"/>
        </w:rPr>
        <w:t>邮电费</w:t>
      </w:r>
      <w:r>
        <w:rPr>
          <w:rFonts w:hint="eastAsia"/>
          <w:spacing w:val="-29"/>
          <w:w w:val="95"/>
          <w:lang w:val="en-US" w:eastAsia="zh-CN"/>
        </w:rPr>
        <w:t>0.75</w:t>
      </w:r>
      <w:r>
        <w:rPr>
          <w:spacing w:val="-14"/>
        </w:rPr>
        <w:t>万元</w:t>
      </w:r>
      <w:r>
        <w:rPr>
          <w:spacing w:val="-29"/>
          <w:w w:val="95"/>
        </w:rPr>
        <w:t>、差旅费</w:t>
      </w:r>
      <w:r>
        <w:rPr>
          <w:rFonts w:hint="eastAsia"/>
          <w:spacing w:val="-29"/>
          <w:w w:val="95"/>
          <w:lang w:val="en-US" w:eastAsia="zh-CN"/>
        </w:rPr>
        <w:t>0.3</w:t>
      </w:r>
      <w:r>
        <w:rPr>
          <w:spacing w:val="-14"/>
        </w:rPr>
        <w:t>万元</w:t>
      </w:r>
      <w:r>
        <w:rPr>
          <w:spacing w:val="-29"/>
          <w:w w:val="95"/>
        </w:rPr>
        <w:t>、</w:t>
      </w:r>
      <w:r>
        <w:t>劳务费</w:t>
      </w:r>
      <w:r>
        <w:rPr>
          <w:rFonts w:hint="eastAsia"/>
          <w:lang w:val="en-US" w:eastAsia="zh-CN"/>
        </w:rPr>
        <w:t>1.87</w:t>
      </w:r>
      <w:r>
        <w:rPr>
          <w:spacing w:val="-14"/>
        </w:rPr>
        <w:t>万元</w:t>
      </w:r>
      <w:r>
        <w:t>、</w:t>
      </w:r>
      <w:r>
        <w:rPr>
          <w:spacing w:val="-11"/>
        </w:rPr>
        <w:t>工会经费</w:t>
      </w:r>
      <w:r>
        <w:rPr>
          <w:rFonts w:hint="eastAsia"/>
          <w:spacing w:val="-11"/>
          <w:lang w:val="en-US" w:eastAsia="zh-CN"/>
        </w:rPr>
        <w:t>1.91</w:t>
      </w:r>
      <w:r>
        <w:rPr>
          <w:spacing w:val="-14"/>
        </w:rPr>
        <w:t>万元</w:t>
      </w:r>
      <w:r>
        <w:rPr>
          <w:spacing w:val="-11"/>
        </w:rPr>
        <w:t>、福利费</w:t>
      </w:r>
      <w:r>
        <w:rPr>
          <w:rFonts w:hint="eastAsia"/>
          <w:spacing w:val="-11"/>
          <w:lang w:val="en-US" w:eastAsia="zh-CN"/>
        </w:rPr>
        <w:t>3.99</w:t>
      </w:r>
      <w:r>
        <w:rPr>
          <w:spacing w:val="-14"/>
        </w:rPr>
        <w:t>万元</w:t>
      </w:r>
      <w:r>
        <w:rPr>
          <w:rFonts w:hint="eastAsia"/>
          <w:spacing w:val="-11"/>
          <w:lang w:eastAsia="zh-CN"/>
        </w:rPr>
        <w:t>。</w:t>
      </w:r>
    </w:p>
    <w:p>
      <w:pPr>
        <w:wordWrap/>
        <w:autoSpaceDE w:val="0"/>
        <w:autoSpaceDN w:val="0"/>
        <w:adjustRightInd/>
        <w:snapToGrid/>
        <w:spacing w:before="0" w:after="0" w:line="600" w:lineRule="exact"/>
        <w:ind w:left="0" w:leftChars="0" w:right="0"/>
        <w:textAlignment w:val="auto"/>
        <w:outlineLvl w:val="9"/>
        <w:rPr>
          <w:rFonts w:hint="eastAsia" w:ascii="黑体" w:hAnsi="黑体" w:eastAsia="黑体"/>
          <w:sz w:val="30"/>
        </w:rPr>
      </w:pPr>
      <w:r>
        <w:rPr>
          <w:rFonts w:hint="eastAsia" w:ascii="黑体" w:hAnsi="黑体" w:eastAsia="黑体"/>
          <w:sz w:val="30"/>
        </w:rPr>
        <w:t>七、一般公共预算财政拨款</w:t>
      </w:r>
      <w:r>
        <w:rPr>
          <w:sz w:val="30"/>
        </w:rPr>
        <w:t>“</w:t>
      </w:r>
      <w:r>
        <w:rPr>
          <w:rFonts w:hint="eastAsia" w:ascii="黑体" w:hAnsi="黑体" w:eastAsia="黑体"/>
          <w:sz w:val="30"/>
        </w:rPr>
        <w:t>三公</w:t>
      </w:r>
      <w:r>
        <w:rPr>
          <w:sz w:val="30"/>
        </w:rPr>
        <w:t>”</w:t>
      </w:r>
      <w:r>
        <w:rPr>
          <w:rFonts w:hint="eastAsia" w:ascii="黑体" w:hAnsi="黑体" w:eastAsia="黑体"/>
          <w:sz w:val="30"/>
        </w:rPr>
        <w:t>经费支出决算情况说明</w:t>
      </w:r>
    </w:p>
    <w:p>
      <w:pPr>
        <w:pStyle w:val="3"/>
        <w:wordWrap/>
        <w:autoSpaceDE w:val="0"/>
        <w:autoSpaceDN w:val="0"/>
        <w:adjustRightInd/>
        <w:snapToGrid/>
        <w:spacing w:before="0" w:after="0" w:line="600" w:lineRule="exact"/>
        <w:ind w:left="0" w:leftChars="0" w:right="0"/>
        <w:textAlignment w:val="auto"/>
        <w:outlineLvl w:val="9"/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（一）</w:t>
      </w:r>
      <w:r>
        <w:rPr>
          <w:rFonts w:ascii="Times New Roman" w:hAnsi="Times New Roman" w:eastAsia="Times New Roman"/>
        </w:rPr>
        <w:t>“</w:t>
      </w:r>
      <w:r>
        <w:rPr>
          <w:rFonts w:hint="eastAsia" w:ascii="楷体" w:hAnsi="楷体" w:eastAsia="楷体"/>
        </w:rPr>
        <w:t>三公</w:t>
      </w:r>
      <w:r>
        <w:rPr>
          <w:rFonts w:ascii="Times New Roman" w:hAnsi="Times New Roman" w:eastAsia="Times New Roman"/>
        </w:rPr>
        <w:t>”</w:t>
      </w:r>
      <w:r>
        <w:rPr>
          <w:rFonts w:hint="eastAsia" w:ascii="楷体" w:hAnsi="楷体" w:eastAsia="楷体"/>
        </w:rPr>
        <w:t>经费财政拨款支出决算总体情况说明</w:t>
      </w:r>
    </w:p>
    <w:p>
      <w:pPr>
        <w:pStyle w:val="3"/>
        <w:wordWrap/>
        <w:autoSpaceDE w:val="0"/>
        <w:autoSpaceDN w:val="0"/>
        <w:adjustRightInd/>
        <w:snapToGrid/>
        <w:spacing w:before="0" w:after="0" w:line="600" w:lineRule="exact"/>
        <w:ind w:left="0" w:leftChars="0" w:right="0" w:firstLine="640"/>
        <w:textAlignment w:val="auto"/>
        <w:outlineLvl w:val="9"/>
      </w:pPr>
      <w:r>
        <w:rPr>
          <w:rFonts w:ascii="Times New Roman" w:hAnsi="Times New Roman" w:eastAsia="Times New Roman"/>
        </w:rPr>
        <w:t xml:space="preserve">2020 </w:t>
      </w:r>
      <w:r>
        <w:t>年度</w:t>
      </w:r>
      <w:r>
        <w:rPr>
          <w:rFonts w:ascii="Times New Roman" w:hAnsi="Times New Roman" w:eastAsia="Times New Roman"/>
        </w:rPr>
        <w:t>“</w:t>
      </w:r>
      <w:r>
        <w:t>三公</w:t>
      </w:r>
      <w:r>
        <w:rPr>
          <w:rFonts w:ascii="Times New Roman" w:hAnsi="Times New Roman" w:eastAsia="Times New Roman"/>
        </w:rPr>
        <w:t>”</w:t>
      </w:r>
      <w:r>
        <w:rPr>
          <w:spacing w:val="-7"/>
        </w:rPr>
        <w:t>经费财政拨款支出预算为</w:t>
      </w:r>
      <w:r>
        <w:rPr>
          <w:rFonts w:hint="eastAsia" w:ascii="Times New Roman" w:hAnsi="Times New Roman" w:eastAsia="宋体"/>
        </w:rPr>
        <w:t>1.55</w:t>
      </w:r>
      <w:r>
        <w:rPr>
          <w:spacing w:val="-17"/>
        </w:rPr>
        <w:t>万元，支出</w:t>
      </w:r>
      <w:r>
        <w:rPr>
          <w:spacing w:val="-34"/>
        </w:rPr>
        <w:t>决算为</w:t>
      </w:r>
      <w:r>
        <w:rPr>
          <w:rFonts w:hint="eastAsia" w:ascii="Times New Roman" w:hAnsi="Times New Roman" w:eastAsia="宋体"/>
        </w:rPr>
        <w:t>1.55</w:t>
      </w:r>
      <w:r>
        <w:rPr>
          <w:spacing w:val="-12"/>
        </w:rPr>
        <w:t>万元，完成预算的</w:t>
      </w:r>
      <w:r>
        <w:rPr>
          <w:rFonts w:hint="eastAsia" w:ascii="Times New Roman" w:hAnsi="Times New Roman" w:eastAsia="宋体"/>
        </w:rPr>
        <w:t>100</w:t>
      </w:r>
      <w:r>
        <w:rPr>
          <w:rFonts w:ascii="Times New Roman" w:hAnsi="Times New Roman" w:eastAsia="Times New Roman"/>
        </w:rPr>
        <w:t>%</w:t>
      </w:r>
      <w:r>
        <w:rPr>
          <w:spacing w:val="-12"/>
        </w:rPr>
        <w:t>。</w:t>
      </w:r>
      <w:r>
        <w:rPr>
          <w:rFonts w:ascii="Times New Roman" w:hAnsi="Times New Roman" w:eastAsia="Times New Roman"/>
        </w:rPr>
        <w:t xml:space="preserve">2020 </w:t>
      </w:r>
      <w:r>
        <w:t>年度</w:t>
      </w:r>
      <w:r>
        <w:rPr>
          <w:rFonts w:ascii="Times New Roman" w:hAnsi="Times New Roman" w:eastAsia="Times New Roman"/>
        </w:rPr>
        <w:t>“</w:t>
      </w:r>
      <w:r>
        <w:t>三公</w:t>
      </w:r>
      <w:r>
        <w:rPr>
          <w:rFonts w:ascii="Times New Roman" w:hAnsi="Times New Roman" w:eastAsia="Times New Roman"/>
        </w:rPr>
        <w:t>”</w:t>
      </w:r>
      <w:r>
        <w:t>支出决算数与预算数</w:t>
      </w:r>
      <w:r>
        <w:rPr>
          <w:rFonts w:hint="eastAsia"/>
          <w:lang w:eastAsia="zh-CN"/>
        </w:rPr>
        <w:t>无</w:t>
      </w:r>
      <w:r>
        <w:t>差异</w:t>
      </w:r>
      <w:r>
        <w:rPr>
          <w:rFonts w:hint="eastAsia"/>
          <w:lang w:eastAsia="zh-CN"/>
        </w:rPr>
        <w:t>。</w:t>
      </w:r>
    </w:p>
    <w:p>
      <w:pPr>
        <w:pStyle w:val="3"/>
        <w:wordWrap/>
        <w:autoSpaceDE w:val="0"/>
        <w:autoSpaceDN w:val="0"/>
        <w:adjustRightInd/>
        <w:snapToGrid/>
        <w:spacing w:before="0" w:after="0" w:line="600" w:lineRule="exact"/>
        <w:ind w:left="0" w:leftChars="0" w:right="0"/>
        <w:textAlignment w:val="auto"/>
        <w:outlineLvl w:val="9"/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（二）</w:t>
      </w:r>
      <w:r>
        <w:rPr>
          <w:rFonts w:ascii="Times New Roman" w:hAnsi="Times New Roman" w:eastAsia="Times New Roman"/>
        </w:rPr>
        <w:t>“</w:t>
      </w:r>
      <w:r>
        <w:rPr>
          <w:rFonts w:hint="eastAsia" w:ascii="楷体" w:hAnsi="楷体" w:eastAsia="楷体"/>
        </w:rPr>
        <w:t>三公</w:t>
      </w:r>
      <w:r>
        <w:rPr>
          <w:rFonts w:ascii="Times New Roman" w:hAnsi="Times New Roman" w:eastAsia="Times New Roman"/>
        </w:rPr>
        <w:t>”</w:t>
      </w:r>
      <w:r>
        <w:rPr>
          <w:rFonts w:hint="eastAsia" w:ascii="楷体" w:hAnsi="楷体" w:eastAsia="楷体"/>
        </w:rPr>
        <w:t>经费财政拨款支出决算具体情况说明</w:t>
      </w:r>
    </w:p>
    <w:p>
      <w:pPr>
        <w:pStyle w:val="3"/>
        <w:wordWrap/>
        <w:autoSpaceDE w:val="0"/>
        <w:autoSpaceDN w:val="0"/>
        <w:adjustRightInd/>
        <w:snapToGrid/>
        <w:spacing w:before="0" w:after="0" w:line="600" w:lineRule="exact"/>
        <w:ind w:left="0" w:leftChars="0" w:right="0"/>
        <w:jc w:val="both"/>
        <w:textAlignment w:val="auto"/>
        <w:outlineLvl w:val="9"/>
      </w:pPr>
      <w:r>
        <w:rPr>
          <w:rFonts w:hint="eastAsia" w:ascii="Times New Roman" w:hAnsi="Times New Roman" w:eastAsia="宋体"/>
          <w:lang w:val="en-US" w:eastAsia="zh-CN"/>
        </w:rPr>
        <w:t xml:space="preserve">        </w:t>
      </w:r>
      <w:r>
        <w:rPr>
          <w:rFonts w:ascii="Times New Roman" w:hAnsi="Times New Roman" w:eastAsia="Times New Roman"/>
        </w:rPr>
        <w:t xml:space="preserve">2020 </w:t>
      </w:r>
      <w:r>
        <w:t>年度</w:t>
      </w:r>
      <w:r>
        <w:rPr>
          <w:rFonts w:ascii="Times New Roman" w:hAnsi="Times New Roman" w:eastAsia="Times New Roman"/>
        </w:rPr>
        <w:t>“</w:t>
      </w:r>
      <w:r>
        <w:t>三公</w:t>
      </w:r>
      <w:r>
        <w:rPr>
          <w:rFonts w:ascii="Times New Roman" w:hAnsi="Times New Roman" w:eastAsia="Times New Roman"/>
        </w:rPr>
        <w:t>”</w:t>
      </w:r>
      <w:r>
        <w:t>经费财政拨款支出决算中，因公出国（境）</w:t>
      </w:r>
    </w:p>
    <w:p>
      <w:pPr>
        <w:pStyle w:val="3"/>
        <w:wordWrap/>
        <w:autoSpaceDE w:val="0"/>
        <w:autoSpaceDN w:val="0"/>
        <w:adjustRightInd/>
        <w:snapToGrid/>
        <w:spacing w:before="0" w:after="0" w:line="600" w:lineRule="exact"/>
        <w:ind w:left="0" w:leftChars="0" w:right="0"/>
        <w:jc w:val="both"/>
        <w:textAlignment w:val="auto"/>
        <w:outlineLvl w:val="9"/>
      </w:pPr>
      <w:r>
        <w:rPr>
          <w:spacing w:val="-7"/>
        </w:rPr>
        <w:t>费年初预算和支出决算均为</w:t>
      </w:r>
      <w:r>
        <w:rPr>
          <w:rFonts w:hint="eastAsia"/>
          <w:spacing w:val="-7"/>
          <w:lang w:val="en-US" w:eastAsia="zh-CN"/>
        </w:rPr>
        <w:t>0</w:t>
      </w:r>
      <w:r>
        <w:rPr>
          <w:spacing w:val="-12"/>
        </w:rPr>
        <w:t>万元；公务用车购置及运行费支出</w:t>
      </w:r>
      <w:r>
        <w:rPr>
          <w:spacing w:val="-36"/>
        </w:rPr>
        <w:t>决算</w:t>
      </w:r>
      <w:r>
        <w:rPr>
          <w:rFonts w:hint="eastAsia" w:ascii="Times New Roman" w:eastAsia="宋体"/>
          <w:lang w:val="en-US" w:eastAsia="zh-CN"/>
        </w:rPr>
        <w:t>1.55</w:t>
      </w:r>
      <w:r>
        <w:rPr>
          <w:spacing w:val="-13"/>
        </w:rPr>
        <w:t>万元，完成年初预算的</w:t>
      </w:r>
      <w:r>
        <w:rPr>
          <w:rFonts w:hint="eastAsia" w:ascii="Times New Roman" w:eastAsia="宋体"/>
          <w:spacing w:val="-5"/>
          <w:lang w:val="en-US" w:eastAsia="zh-CN"/>
        </w:rPr>
        <w:t>100</w:t>
      </w:r>
      <w:r>
        <w:rPr>
          <w:rFonts w:ascii="Times New Roman" w:eastAsia="Times New Roman"/>
          <w:spacing w:val="-5"/>
        </w:rPr>
        <w:t>%</w:t>
      </w:r>
      <w:r>
        <w:rPr>
          <w:spacing w:val="-30"/>
        </w:rPr>
        <w:t xml:space="preserve">，占 </w:t>
      </w:r>
      <w:r>
        <w:rPr>
          <w:rFonts w:hint="eastAsia" w:ascii="Times New Roman" w:eastAsia="宋体"/>
          <w:spacing w:val="-4"/>
          <w:lang w:val="en-US" w:eastAsia="zh-CN"/>
        </w:rPr>
        <w:t>100</w:t>
      </w:r>
      <w:r>
        <w:rPr>
          <w:rFonts w:ascii="Times New Roman" w:eastAsia="Times New Roman"/>
          <w:spacing w:val="-4"/>
        </w:rPr>
        <w:t>%</w:t>
      </w:r>
      <w:r>
        <w:rPr>
          <w:spacing w:val="-2"/>
        </w:rPr>
        <w:t>；公务接</w:t>
      </w:r>
      <w:r>
        <w:rPr>
          <w:w w:val="99"/>
        </w:rPr>
        <w:t>待费支出决算</w:t>
      </w:r>
      <w:r>
        <w:rPr>
          <w:spacing w:val="-81"/>
        </w:rPr>
        <w:t xml:space="preserve"> </w:t>
      </w:r>
      <w:r>
        <w:rPr>
          <w:rFonts w:hint="eastAsia" w:ascii="Times New Roman" w:eastAsia="宋体"/>
          <w:spacing w:val="1"/>
          <w:w w:val="99"/>
        </w:rPr>
        <w:t>0</w:t>
      </w:r>
      <w:r>
        <w:rPr>
          <w:spacing w:val="-15"/>
          <w:w w:val="99"/>
        </w:rPr>
        <w:t>万元，完成年初预算的</w:t>
      </w:r>
      <w:r>
        <w:rPr>
          <w:rFonts w:hint="eastAsia" w:ascii="Times New Roman" w:eastAsia="宋体"/>
          <w:spacing w:val="1"/>
          <w:w w:val="99"/>
        </w:rPr>
        <w:t>0</w:t>
      </w:r>
      <w:r>
        <w:rPr>
          <w:rFonts w:ascii="Times New Roman" w:eastAsia="Times New Roman"/>
          <w:spacing w:val="3"/>
          <w:w w:val="99"/>
        </w:rPr>
        <w:t>%</w:t>
      </w:r>
      <w:r>
        <w:rPr>
          <w:spacing w:val="-69"/>
          <w:w w:val="99"/>
        </w:rPr>
        <w:t>，占</w:t>
      </w:r>
      <w:r>
        <w:rPr>
          <w:rFonts w:hint="eastAsia" w:ascii="Times New Roman" w:eastAsia="宋体"/>
          <w:spacing w:val="1"/>
          <w:w w:val="99"/>
        </w:rPr>
        <w:t>0</w:t>
      </w:r>
      <w:r>
        <w:rPr>
          <w:rFonts w:ascii="Times New Roman" w:eastAsia="Times New Roman"/>
          <w:w w:val="99"/>
        </w:rPr>
        <w:t>%</w:t>
      </w:r>
      <w:r>
        <w:rPr>
          <w:spacing w:val="13"/>
          <w:w w:val="99"/>
        </w:rPr>
        <w:t>。具</w:t>
      </w:r>
      <w:r>
        <w:rPr>
          <w:spacing w:val="13"/>
        </w:rPr>
        <w:t>体情况如下：</w:t>
      </w:r>
    </w:p>
    <w:p>
      <w:pPr>
        <w:pStyle w:val="9"/>
        <w:numPr>
          <w:numId w:val="0"/>
        </w:numPr>
        <w:tabs>
          <w:tab w:val="left" w:pos="994"/>
        </w:tabs>
        <w:wordWrap/>
        <w:autoSpaceDE w:val="0"/>
        <w:autoSpaceDN w:val="0"/>
        <w:adjustRightInd/>
        <w:snapToGrid/>
        <w:spacing w:before="0" w:after="0" w:line="600" w:lineRule="exact"/>
        <w:ind w:left="-243" w:leftChars="0" w:right="0"/>
        <w:jc w:val="both"/>
        <w:textAlignment w:val="auto"/>
        <w:outlineLvl w:val="9"/>
        <w:rPr>
          <w:sz w:val="32"/>
        </w:rPr>
      </w:pPr>
      <w:r>
        <w:rPr>
          <w:rFonts w:hint="eastAsia"/>
          <w:spacing w:val="-3"/>
          <w:sz w:val="32"/>
          <w:lang w:val="en-US" w:eastAsia="zh-CN"/>
        </w:rPr>
        <w:t xml:space="preserve">     1.</w:t>
      </w:r>
      <w:r>
        <w:rPr>
          <w:spacing w:val="-3"/>
          <w:sz w:val="32"/>
        </w:rPr>
        <w:t>因公出国</w:t>
      </w:r>
      <w:r>
        <w:rPr>
          <w:sz w:val="32"/>
        </w:rPr>
        <w:t>（境</w:t>
      </w:r>
      <w:r>
        <w:rPr>
          <w:spacing w:val="-12"/>
          <w:sz w:val="32"/>
        </w:rPr>
        <w:t xml:space="preserve">）费年初预算为 </w:t>
      </w:r>
      <w:r>
        <w:rPr>
          <w:rFonts w:ascii="Times New Roman" w:eastAsia="Times New Roman"/>
          <w:sz w:val="32"/>
        </w:rPr>
        <w:t>0</w:t>
      </w:r>
      <w:r>
        <w:rPr>
          <w:rFonts w:ascii="Times New Roman" w:eastAsia="Times New Roman"/>
          <w:spacing w:val="-1"/>
          <w:sz w:val="32"/>
        </w:rPr>
        <w:t xml:space="preserve"> </w:t>
      </w:r>
      <w:r>
        <w:rPr>
          <w:spacing w:val="-11"/>
          <w:sz w:val="32"/>
        </w:rPr>
        <w:t xml:space="preserve">万元，支出决算为为 </w:t>
      </w:r>
      <w:r>
        <w:rPr>
          <w:rFonts w:ascii="Times New Roman" w:eastAsia="Times New Roman"/>
          <w:sz w:val="32"/>
        </w:rPr>
        <w:t>0</w:t>
      </w:r>
      <w:r>
        <w:rPr>
          <w:rFonts w:ascii="Times New Roman" w:eastAsia="Times New Roman"/>
          <w:spacing w:val="-2"/>
          <w:sz w:val="32"/>
        </w:rPr>
        <w:t xml:space="preserve"> </w:t>
      </w:r>
      <w:r>
        <w:rPr>
          <w:sz w:val="32"/>
        </w:rPr>
        <w:t>万</w:t>
      </w:r>
    </w:p>
    <w:p>
      <w:pPr>
        <w:pStyle w:val="3"/>
        <w:wordWrap/>
        <w:autoSpaceDE w:val="0"/>
        <w:autoSpaceDN w:val="0"/>
        <w:adjustRightInd/>
        <w:snapToGrid/>
        <w:spacing w:before="0" w:after="0" w:line="600" w:lineRule="exact"/>
        <w:ind w:left="0" w:leftChars="0" w:right="0"/>
        <w:textAlignment w:val="auto"/>
        <w:outlineLvl w:val="9"/>
      </w:pPr>
      <w:r>
        <w:t>元。</w:t>
      </w:r>
    </w:p>
    <w:p>
      <w:pPr>
        <w:pStyle w:val="9"/>
        <w:numPr>
          <w:numId w:val="0"/>
        </w:numPr>
        <w:tabs>
          <w:tab w:val="left" w:pos="994"/>
        </w:tabs>
        <w:wordWrap/>
        <w:autoSpaceDE w:val="0"/>
        <w:autoSpaceDN w:val="0"/>
        <w:adjustRightInd/>
        <w:snapToGrid/>
        <w:spacing w:before="0" w:after="0" w:line="600" w:lineRule="exact"/>
        <w:ind w:right="0"/>
        <w:textAlignment w:val="auto"/>
        <w:outlineLvl w:val="9"/>
        <w:rPr>
          <w:sz w:val="32"/>
        </w:rPr>
      </w:pPr>
      <w:r>
        <w:rPr>
          <w:rFonts w:hint="eastAsia"/>
          <w:spacing w:val="-5"/>
          <w:sz w:val="32"/>
          <w:lang w:val="en-US" w:eastAsia="zh-CN"/>
        </w:rPr>
        <w:t xml:space="preserve">    2.</w:t>
      </w:r>
      <w:r>
        <w:rPr>
          <w:spacing w:val="-5"/>
          <w:sz w:val="32"/>
        </w:rPr>
        <w:t>公务用车购置及运行费年初预算为</w:t>
      </w:r>
      <w:r>
        <w:rPr>
          <w:rFonts w:hint="eastAsia"/>
          <w:spacing w:val="-5"/>
          <w:sz w:val="32"/>
          <w:lang w:val="en-US" w:eastAsia="zh-CN"/>
        </w:rPr>
        <w:t>1.55</w:t>
      </w:r>
      <w:r>
        <w:rPr>
          <w:sz w:val="32"/>
        </w:rPr>
        <w:t>万元，支出决算</w:t>
      </w:r>
    </w:p>
    <w:p>
      <w:pPr>
        <w:pStyle w:val="3"/>
        <w:wordWrap/>
        <w:autoSpaceDE w:val="0"/>
        <w:autoSpaceDN w:val="0"/>
        <w:adjustRightInd/>
        <w:snapToGrid/>
        <w:spacing w:before="0" w:after="0" w:line="600" w:lineRule="exact"/>
        <w:ind w:left="0" w:leftChars="0" w:right="0"/>
        <w:jc w:val="both"/>
        <w:textAlignment w:val="auto"/>
        <w:outlineLvl w:val="9"/>
      </w:pPr>
      <w:r>
        <w:rPr>
          <w:spacing w:val="-40"/>
        </w:rPr>
        <w:t>为</w:t>
      </w:r>
      <w:r>
        <w:rPr>
          <w:rFonts w:hint="eastAsia" w:ascii="Times New Roman" w:eastAsia="宋体"/>
          <w:lang w:val="en-US" w:eastAsia="zh-CN"/>
        </w:rPr>
        <w:t>1.55</w:t>
      </w:r>
      <w:r>
        <w:rPr>
          <w:spacing w:val="-8"/>
        </w:rPr>
        <w:t>万元，完成年初预算的</w:t>
      </w:r>
      <w:r>
        <w:rPr>
          <w:rFonts w:hint="eastAsia" w:ascii="Times New Roman" w:eastAsia="宋体"/>
          <w:lang w:val="en-US" w:eastAsia="zh-CN"/>
        </w:rPr>
        <w:t>100</w:t>
      </w:r>
      <w:r>
        <w:rPr>
          <w:rFonts w:ascii="Times New Roman" w:eastAsia="Times New Roman"/>
        </w:rPr>
        <w:t>%</w:t>
      </w:r>
      <w:r>
        <w:t>。决算数与年初预算数</w:t>
      </w:r>
      <w:r>
        <w:rPr>
          <w:rFonts w:hint="eastAsia"/>
          <w:spacing w:val="-1"/>
          <w:lang w:eastAsia="zh-CN"/>
        </w:rPr>
        <w:t>无</w:t>
      </w:r>
      <w:r>
        <w:rPr>
          <w:spacing w:val="-1"/>
        </w:rPr>
        <w:t>差异</w:t>
      </w:r>
      <w:r>
        <w:t>。</w:t>
      </w:r>
    </w:p>
    <w:p>
      <w:pPr>
        <w:pStyle w:val="3"/>
        <w:wordWrap/>
        <w:autoSpaceDE w:val="0"/>
        <w:autoSpaceDN w:val="0"/>
        <w:adjustRightInd/>
        <w:snapToGrid/>
        <w:spacing w:before="0" w:after="0" w:line="600" w:lineRule="exact"/>
        <w:ind w:left="0" w:leftChars="0" w:right="0"/>
        <w:jc w:val="both"/>
        <w:textAlignment w:val="auto"/>
        <w:outlineLvl w:val="9"/>
      </w:pPr>
      <w:r>
        <w:rPr>
          <w:rFonts w:hint="eastAsia"/>
          <w:lang w:val="en-US" w:eastAsia="zh-CN"/>
        </w:rPr>
        <w:t xml:space="preserve">    </w:t>
      </w:r>
      <w:r>
        <w:t>公务用车购置支出</w:t>
      </w:r>
      <w:r>
        <w:rPr>
          <w:rFonts w:hint="eastAsia"/>
          <w:lang w:val="en-US" w:eastAsia="zh-CN"/>
        </w:rPr>
        <w:t>0</w:t>
      </w:r>
      <w:r>
        <w:t>万元，购置车辆</w:t>
      </w:r>
      <w:r>
        <w:rPr>
          <w:rFonts w:hint="eastAsia"/>
          <w:lang w:val="en-US" w:eastAsia="zh-CN"/>
        </w:rPr>
        <w:t>0</w:t>
      </w:r>
      <w:r>
        <w:rPr>
          <w:rFonts w:ascii="Times New Roman" w:eastAsia="Times New Roman"/>
        </w:rPr>
        <w:t xml:space="preserve"> </w:t>
      </w:r>
      <w:r>
        <w:t>辆。</w:t>
      </w:r>
    </w:p>
    <w:p>
      <w:pPr>
        <w:pStyle w:val="3"/>
        <w:wordWrap/>
        <w:autoSpaceDE w:val="0"/>
        <w:autoSpaceDN w:val="0"/>
        <w:adjustRightInd/>
        <w:snapToGrid/>
        <w:spacing w:before="0" w:after="0" w:line="600" w:lineRule="exact"/>
        <w:ind w:left="0" w:leftChars="0" w:right="0" w:firstLine="640"/>
        <w:textAlignment w:val="auto"/>
        <w:outlineLvl w:val="9"/>
      </w:pPr>
      <w:r>
        <w:rPr>
          <w:spacing w:val="-11"/>
        </w:rPr>
        <w:t>公务用车运行费支出</w:t>
      </w:r>
      <w:r>
        <w:rPr>
          <w:rFonts w:hint="eastAsia" w:ascii="Times New Roman" w:eastAsia="宋体"/>
          <w:lang w:val="en-US" w:eastAsia="zh-CN"/>
        </w:rPr>
        <w:t>1.55</w:t>
      </w:r>
      <w:r>
        <w:rPr>
          <w:spacing w:val="-14"/>
        </w:rPr>
        <w:t>万元。主要用于</w:t>
      </w:r>
      <w:r>
        <w:rPr>
          <w:rFonts w:hint="eastAsia"/>
          <w:spacing w:val="-14"/>
          <w:lang w:eastAsia="zh-CN"/>
        </w:rPr>
        <w:t>车辆保险、燃油、维修等方面。</w:t>
      </w:r>
    </w:p>
    <w:p>
      <w:pPr>
        <w:pStyle w:val="9"/>
        <w:numPr>
          <w:numId w:val="0"/>
        </w:numPr>
        <w:tabs>
          <w:tab w:val="left" w:pos="994"/>
        </w:tabs>
        <w:wordWrap/>
        <w:autoSpaceDE w:val="0"/>
        <w:autoSpaceDN w:val="0"/>
        <w:adjustRightInd/>
        <w:snapToGrid/>
        <w:spacing w:before="0" w:after="0" w:line="600" w:lineRule="exact"/>
        <w:ind w:left="640" w:leftChars="0" w:right="0"/>
        <w:textAlignment w:val="auto"/>
        <w:outlineLvl w:val="9"/>
        <w:rPr>
          <w:sz w:val="32"/>
          <w:lang w:val="en-US"/>
        </w:rPr>
      </w:pPr>
      <w:r>
        <w:rPr>
          <w:rFonts w:hint="eastAsia"/>
          <w:spacing w:val="-8"/>
          <w:sz w:val="32"/>
          <w:lang w:val="en-US" w:eastAsia="zh-CN"/>
        </w:rPr>
        <w:t xml:space="preserve"> 3.</w:t>
      </w:r>
      <w:r>
        <w:rPr>
          <w:spacing w:val="-8"/>
          <w:sz w:val="32"/>
        </w:rPr>
        <w:t>公务接待费年初预算为</w:t>
      </w:r>
      <w:r>
        <w:rPr>
          <w:rFonts w:hint="eastAsia" w:ascii="Times New Roman" w:eastAsia="宋体"/>
          <w:sz w:val="32"/>
          <w:lang w:val="en-US" w:eastAsia="zh-CN"/>
        </w:rPr>
        <w:t>0</w:t>
      </w:r>
      <w:r>
        <w:rPr>
          <w:spacing w:val="-15"/>
          <w:sz w:val="32"/>
        </w:rPr>
        <w:t>万元，支出决算为</w:t>
      </w:r>
      <w:r>
        <w:rPr>
          <w:rFonts w:hint="eastAsia" w:ascii="Times New Roman" w:eastAsia="宋体"/>
          <w:sz w:val="32"/>
          <w:lang w:val="en-US" w:eastAsia="zh-CN"/>
        </w:rPr>
        <w:t>0</w:t>
      </w:r>
      <w:r>
        <w:rPr>
          <w:sz w:val="32"/>
        </w:rPr>
        <w:t xml:space="preserve">万元， </w:t>
      </w:r>
      <w:r>
        <w:rPr>
          <w:spacing w:val="-7"/>
          <w:sz w:val="32"/>
        </w:rPr>
        <w:t xml:space="preserve">完成年初预算的 </w:t>
      </w:r>
      <w:r>
        <w:rPr>
          <w:rFonts w:hint="eastAsia" w:ascii="Times New Roman" w:eastAsia="宋体"/>
          <w:sz w:val="32"/>
          <w:lang w:val="en-US" w:eastAsia="zh-CN"/>
        </w:rPr>
        <w:t>0</w:t>
      </w:r>
      <w:r>
        <w:rPr>
          <w:spacing w:val="4"/>
          <w:sz w:val="32"/>
        </w:rPr>
        <w:t>。</w:t>
      </w:r>
    </w:p>
    <w:p>
      <w:pPr>
        <w:wordWrap/>
        <w:autoSpaceDE w:val="0"/>
        <w:autoSpaceDN w:val="0"/>
        <w:adjustRightInd/>
        <w:snapToGrid/>
        <w:spacing w:before="0" w:after="0" w:line="600" w:lineRule="exact"/>
        <w:ind w:left="0" w:leftChars="0" w:right="0"/>
        <w:textAlignment w:val="auto"/>
        <w:outlineLvl w:val="9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>八、预算绩效情况说明</w:t>
      </w:r>
    </w:p>
    <w:p>
      <w:pPr>
        <w:pStyle w:val="3"/>
        <w:wordWrap/>
        <w:autoSpaceDE w:val="0"/>
        <w:autoSpaceDN w:val="0"/>
        <w:adjustRightInd/>
        <w:snapToGrid/>
        <w:spacing w:before="0" w:after="0" w:line="600" w:lineRule="exact"/>
        <w:ind w:left="0" w:leftChars="0" w:right="0"/>
        <w:textAlignment w:val="auto"/>
        <w:outlineLvl w:val="9"/>
        <w:rPr>
          <w:rFonts w:hint="eastAsia" w:ascii="楷体" w:eastAsia="楷体"/>
        </w:rPr>
      </w:pPr>
      <w:r>
        <w:rPr>
          <w:rFonts w:hint="eastAsia" w:ascii="楷体" w:eastAsia="楷体"/>
        </w:rPr>
        <w:t>（一）绩效管理工作开展情况</w:t>
      </w:r>
    </w:p>
    <w:p>
      <w:pPr>
        <w:pStyle w:val="3"/>
        <w:wordWrap/>
        <w:autoSpaceDE w:val="0"/>
        <w:autoSpaceDN w:val="0"/>
        <w:adjustRightInd/>
        <w:snapToGrid/>
        <w:spacing w:before="0" w:after="0" w:line="600" w:lineRule="exact"/>
        <w:ind w:left="0" w:leftChars="0" w:right="0" w:firstLine="640"/>
        <w:jc w:val="both"/>
        <w:textAlignment w:val="auto"/>
        <w:outlineLvl w:val="9"/>
      </w:pPr>
      <w:r>
        <w:rPr>
          <w:spacing w:val="-11"/>
        </w:rPr>
        <w:t>为深入贯彻落实</w:t>
      </w:r>
      <w:r>
        <w:rPr>
          <w:spacing w:val="-5"/>
        </w:rPr>
        <w:t>《中共洛</w:t>
      </w:r>
      <w:r>
        <w:rPr>
          <w:spacing w:val="6"/>
        </w:rPr>
        <w:t>阳市委 洛阳市人民政府关于全面实施预算绩效管理的实施意</w:t>
      </w:r>
      <w:r>
        <w:rPr>
          <w:spacing w:val="-3"/>
        </w:rPr>
        <w:t>见》</w:t>
      </w:r>
      <w:r>
        <w:t>（洛发﹝</w:t>
      </w:r>
      <w:r>
        <w:rPr>
          <w:rFonts w:ascii="Times New Roman" w:eastAsia="Times New Roman"/>
        </w:rPr>
        <w:t>2021</w:t>
      </w:r>
      <w:r>
        <w:t>﹞</w:t>
      </w:r>
      <w:r>
        <w:rPr>
          <w:rFonts w:ascii="Times New Roman" w:eastAsia="Times New Roman"/>
        </w:rPr>
        <w:t xml:space="preserve">3 </w:t>
      </w:r>
      <w:r>
        <w:t>号</w:t>
      </w:r>
      <w:r>
        <w:rPr>
          <w:spacing w:val="-7"/>
        </w:rPr>
        <w:t>）</w:t>
      </w:r>
      <w:r>
        <w:rPr>
          <w:spacing w:val="-4"/>
        </w:rPr>
        <w:t>精神，健全绩效评价常态化机制，强</w:t>
      </w:r>
      <w:r>
        <w:rPr>
          <w:spacing w:val="-25"/>
          <w:w w:val="95"/>
        </w:rPr>
        <w:t>化部门预算绩效管理主体责任，提高财政资金使用效益。按照《洛</w:t>
      </w:r>
      <w:r>
        <w:rPr>
          <w:spacing w:val="-26"/>
        </w:rPr>
        <w:t xml:space="preserve">阳市财政局关于开展 </w:t>
      </w:r>
      <w:r>
        <w:rPr>
          <w:rFonts w:ascii="Times New Roman" w:eastAsia="Times New Roman"/>
        </w:rPr>
        <w:t xml:space="preserve">2020 </w:t>
      </w:r>
      <w:r>
        <w:t>年度市级预算绩效自评的工作通知》（</w:t>
      </w:r>
      <w:r>
        <w:rPr>
          <w:spacing w:val="-3"/>
        </w:rPr>
        <w:t>洛财效〔</w:t>
      </w:r>
      <w:r>
        <w:rPr>
          <w:rFonts w:ascii="Times New Roman" w:eastAsia="Times New Roman"/>
        </w:rPr>
        <w:t>2021</w:t>
      </w:r>
      <w:r>
        <w:rPr>
          <w:spacing w:val="-5"/>
        </w:rPr>
        <w:t>〕</w:t>
      </w:r>
      <w:r>
        <w:rPr>
          <w:rFonts w:ascii="Times New Roman" w:eastAsia="Times New Roman"/>
        </w:rPr>
        <w:t xml:space="preserve">2 </w:t>
      </w:r>
      <w:r>
        <w:t>号</w:t>
      </w:r>
      <w:r>
        <w:rPr>
          <w:spacing w:val="-7"/>
        </w:rPr>
        <w:t>）</w:t>
      </w:r>
      <w:r>
        <w:rPr>
          <w:spacing w:val="-2"/>
        </w:rPr>
        <w:t>要求，我</w:t>
      </w:r>
      <w:r>
        <w:rPr>
          <w:rFonts w:hint="eastAsia"/>
          <w:spacing w:val="-2"/>
          <w:lang w:eastAsia="zh-CN"/>
        </w:rPr>
        <w:t>单位</w:t>
      </w:r>
      <w:r>
        <w:rPr>
          <w:spacing w:val="-2"/>
        </w:rPr>
        <w:t>高度重视，成立了绩效自</w:t>
      </w:r>
      <w:r>
        <w:rPr>
          <w:spacing w:val="-19"/>
          <w:w w:val="95"/>
        </w:rPr>
        <w:t xml:space="preserve">评工作领导小组，通过基础资料收集、数据汇总分析等工作程序， </w:t>
      </w:r>
      <w:r>
        <w:rPr>
          <w:spacing w:val="-22"/>
        </w:rPr>
        <w:t>对单位项目的情况进行全面了解，形成了</w:t>
      </w:r>
      <w:r>
        <w:rPr>
          <w:rFonts w:ascii="Times New Roman" w:eastAsia="Times New Roman"/>
        </w:rPr>
        <w:t xml:space="preserve">2020 </w:t>
      </w:r>
      <w:r>
        <w:t>年度项目单位自评总结报告</w:t>
      </w:r>
      <w:r>
        <w:rPr>
          <w:rFonts w:hint="eastAsia"/>
          <w:lang w:eastAsia="zh-CN"/>
        </w:rPr>
        <w:t>留档保存</w:t>
      </w:r>
      <w:r>
        <w:t>。</w:t>
      </w:r>
    </w:p>
    <w:p>
      <w:pPr>
        <w:pStyle w:val="3"/>
        <w:wordWrap/>
        <w:autoSpaceDE w:val="0"/>
        <w:autoSpaceDN w:val="0"/>
        <w:adjustRightInd/>
        <w:snapToGrid/>
        <w:spacing w:before="0" w:after="0" w:line="600" w:lineRule="exact"/>
        <w:ind w:left="0" w:leftChars="0" w:right="0"/>
        <w:textAlignment w:val="auto"/>
        <w:outlineLvl w:val="9"/>
        <w:rPr>
          <w:rFonts w:hint="eastAsia" w:ascii="楷体" w:eastAsia="楷体"/>
        </w:rPr>
      </w:pPr>
      <w:r>
        <w:rPr>
          <w:rFonts w:hint="eastAsia" w:ascii="楷体" w:eastAsia="楷体"/>
        </w:rPr>
        <w:t>（二）项目绩效自评结果</w:t>
      </w:r>
    </w:p>
    <w:p>
      <w:pPr>
        <w:pStyle w:val="3"/>
        <w:wordWrap/>
        <w:autoSpaceDE w:val="0"/>
        <w:autoSpaceDN w:val="0"/>
        <w:adjustRightInd/>
        <w:snapToGrid/>
        <w:spacing w:before="0" w:after="0" w:line="600" w:lineRule="exact"/>
        <w:ind w:left="0" w:leftChars="0" w:right="0" w:firstLine="640"/>
        <w:jc w:val="both"/>
        <w:textAlignment w:val="auto"/>
        <w:outlineLvl w:val="9"/>
      </w:pPr>
      <w:r>
        <w:rPr>
          <w:spacing w:val="-14"/>
        </w:rPr>
        <w:t xml:space="preserve">我部门内设 </w:t>
      </w:r>
      <w:r>
        <w:rPr>
          <w:rFonts w:hint="eastAsia" w:ascii="Times New Roman" w:eastAsia="宋体"/>
          <w:lang w:val="en-US" w:eastAsia="zh-CN"/>
        </w:rPr>
        <w:t>1</w:t>
      </w:r>
      <w:r>
        <w:rPr>
          <w:spacing w:val="-1"/>
        </w:rPr>
        <w:t>个预算归口管理单位，</w:t>
      </w:r>
      <w:r>
        <w:rPr>
          <w:rFonts w:ascii="Times New Roman" w:eastAsia="Times New Roman"/>
          <w:spacing w:val="-7"/>
        </w:rPr>
        <w:t xml:space="preserve">2020 </w:t>
      </w:r>
      <w:r>
        <w:t>年度项目预算共</w:t>
      </w:r>
      <w:r>
        <w:rPr>
          <w:spacing w:val="-39"/>
        </w:rPr>
        <w:t>有</w:t>
      </w:r>
      <w:r>
        <w:rPr>
          <w:rFonts w:hint="eastAsia"/>
          <w:spacing w:val="-39"/>
          <w:lang w:val="en-US" w:eastAsia="zh-CN"/>
        </w:rPr>
        <w:t>8</w:t>
      </w:r>
      <w:r>
        <w:rPr>
          <w:spacing w:val="-6"/>
        </w:rPr>
        <w:t>个；项目全年预算资金总额为</w:t>
      </w:r>
      <w:r>
        <w:rPr>
          <w:rFonts w:hint="eastAsia"/>
          <w:spacing w:val="-6"/>
          <w:lang w:val="en-US" w:eastAsia="zh-CN"/>
        </w:rPr>
        <w:t>2615.94</w:t>
      </w:r>
      <w:r>
        <w:t>万元，全年实际</w:t>
      </w:r>
      <w:r>
        <w:rPr>
          <w:spacing w:val="-17"/>
        </w:rPr>
        <w:t>执行数为</w:t>
      </w:r>
      <w:r>
        <w:rPr>
          <w:rFonts w:hint="eastAsia" w:ascii="Times New Roman" w:eastAsia="宋体"/>
          <w:lang w:val="en-US" w:eastAsia="zh-CN"/>
        </w:rPr>
        <w:t>1860.7</w:t>
      </w:r>
      <w:r>
        <w:rPr>
          <w:spacing w:val="-8"/>
        </w:rPr>
        <w:t>万元，预算执行率为</w:t>
      </w:r>
      <w:r>
        <w:rPr>
          <w:rFonts w:hint="eastAsia" w:ascii="Times New Roman" w:eastAsia="宋体"/>
          <w:lang w:val="en-US" w:eastAsia="zh-CN"/>
        </w:rPr>
        <w:t>70</w:t>
      </w:r>
      <w:r>
        <w:rPr>
          <w:rFonts w:ascii="Times New Roman" w:eastAsia="Times New Roman"/>
        </w:rPr>
        <w:t>%</w:t>
      </w:r>
      <w:r>
        <w:t>。</w:t>
      </w:r>
    </w:p>
    <w:p>
      <w:pPr>
        <w:pStyle w:val="3"/>
        <w:wordWrap/>
        <w:autoSpaceDE w:val="0"/>
        <w:autoSpaceDN w:val="0"/>
        <w:adjustRightInd/>
        <w:snapToGrid/>
        <w:spacing w:before="0" w:after="0" w:line="600" w:lineRule="exact"/>
        <w:ind w:left="0" w:leftChars="0" w:right="0" w:firstLine="640"/>
        <w:jc w:val="both"/>
        <w:textAlignment w:val="auto"/>
        <w:outlineLvl w:val="9"/>
      </w:pPr>
      <w:r>
        <w:rPr>
          <w:spacing w:val="-6"/>
        </w:rPr>
        <w:t xml:space="preserve">根据《洛阳市财政局关于开展 </w:t>
      </w:r>
      <w:r>
        <w:rPr>
          <w:rFonts w:ascii="Times New Roman" w:eastAsia="Times New Roman"/>
        </w:rPr>
        <w:t xml:space="preserve">2020 </w:t>
      </w:r>
      <w:r>
        <w:t>年度市级预算绩效自评</w:t>
      </w:r>
      <w:r>
        <w:rPr>
          <w:spacing w:val="-2"/>
        </w:rPr>
        <w:t>工作的通知》</w:t>
      </w:r>
      <w:r>
        <w:t>（</w:t>
      </w:r>
      <w:r>
        <w:rPr>
          <w:spacing w:val="-2"/>
        </w:rPr>
        <w:t>洛财效〔</w:t>
      </w:r>
      <w:r>
        <w:rPr>
          <w:rFonts w:ascii="Times New Roman" w:eastAsia="Times New Roman"/>
        </w:rPr>
        <w:t>2021</w:t>
      </w:r>
      <w:r>
        <w:rPr>
          <w:spacing w:val="-5"/>
        </w:rPr>
        <w:t>〕</w:t>
      </w:r>
      <w:r>
        <w:rPr>
          <w:rFonts w:ascii="Times New Roman" w:eastAsia="Times New Roman"/>
        </w:rPr>
        <w:t xml:space="preserve">2 </w:t>
      </w:r>
      <w:r>
        <w:t>号</w:t>
      </w:r>
      <w:r>
        <w:rPr>
          <w:spacing w:val="-5"/>
        </w:rPr>
        <w:t>）</w:t>
      </w:r>
      <w:r>
        <w:rPr>
          <w:spacing w:val="-1"/>
        </w:rPr>
        <w:t>相关规定，绩效评价结果</w:t>
      </w:r>
      <w:r>
        <w:rPr>
          <w:spacing w:val="-8"/>
        </w:rPr>
        <w:t>实行百分制和四级分类，分别是：</w:t>
      </w:r>
      <w:r>
        <w:rPr>
          <w:rFonts w:ascii="Times New Roman" w:eastAsia="Times New Roman"/>
          <w:spacing w:val="-25"/>
        </w:rPr>
        <w:t>90</w:t>
      </w:r>
      <w:r>
        <w:rPr>
          <w:spacing w:val="-25"/>
        </w:rPr>
        <w:t>（</w:t>
      </w:r>
      <w:r>
        <w:t>含</w:t>
      </w:r>
      <w:r>
        <w:rPr>
          <w:spacing w:val="-10"/>
        </w:rPr>
        <w:t>）</w:t>
      </w:r>
      <w:r>
        <w:rPr>
          <w:rFonts w:ascii="Times New Roman" w:eastAsia="Times New Roman"/>
          <w:spacing w:val="-10"/>
        </w:rPr>
        <w:t xml:space="preserve">-100 </w:t>
      </w:r>
      <w:r>
        <w:rPr>
          <w:spacing w:val="-13"/>
        </w:rPr>
        <w:t>分为优、</w:t>
      </w:r>
      <w:r>
        <w:rPr>
          <w:rFonts w:ascii="Times New Roman" w:eastAsia="Times New Roman"/>
          <w:spacing w:val="-17"/>
        </w:rPr>
        <w:t>80</w:t>
      </w:r>
      <w:r>
        <w:rPr>
          <w:spacing w:val="-17"/>
        </w:rPr>
        <w:t>（</w:t>
      </w:r>
      <w:r>
        <w:t>含）</w:t>
      </w:r>
    </w:p>
    <w:p>
      <w:pPr>
        <w:pStyle w:val="3"/>
        <w:wordWrap/>
        <w:autoSpaceDE w:val="0"/>
        <w:autoSpaceDN w:val="0"/>
        <w:adjustRightInd/>
        <w:snapToGrid/>
        <w:spacing w:before="0" w:after="0" w:line="600" w:lineRule="exact"/>
        <w:ind w:left="0" w:leftChars="0" w:right="0"/>
        <w:jc w:val="both"/>
        <w:textAlignment w:val="auto"/>
        <w:outlineLvl w:val="9"/>
      </w:pPr>
      <w:r>
        <w:rPr>
          <w:rFonts w:ascii="Times New Roman" w:eastAsia="Times New Roman"/>
        </w:rPr>
        <w:t xml:space="preserve">-90 </w:t>
      </w:r>
      <w:r>
        <w:t>分为良、</w:t>
      </w:r>
      <w:r>
        <w:rPr>
          <w:rFonts w:ascii="Times New Roman" w:eastAsia="Times New Roman"/>
        </w:rPr>
        <w:t>60</w:t>
      </w:r>
      <w:r>
        <w:t>（含）</w:t>
      </w:r>
      <w:r>
        <w:rPr>
          <w:rFonts w:ascii="Times New Roman" w:eastAsia="Times New Roman"/>
        </w:rPr>
        <w:t xml:space="preserve">-80 </w:t>
      </w:r>
      <w:r>
        <w:t>分为中、</w:t>
      </w:r>
      <w:r>
        <w:rPr>
          <w:rFonts w:ascii="Times New Roman" w:eastAsia="Times New Roman"/>
        </w:rPr>
        <w:t xml:space="preserve">60 </w:t>
      </w:r>
      <w:r>
        <w:t>分以下为差。</w:t>
      </w:r>
    </w:p>
    <w:p>
      <w:pPr>
        <w:pStyle w:val="3"/>
        <w:wordWrap/>
        <w:autoSpaceDE w:val="0"/>
        <w:autoSpaceDN w:val="0"/>
        <w:adjustRightInd/>
        <w:snapToGrid/>
        <w:spacing w:before="0" w:after="0" w:line="600" w:lineRule="exact"/>
        <w:ind w:left="0" w:leftChars="0" w:right="0" w:firstLine="640"/>
        <w:jc w:val="both"/>
        <w:textAlignment w:val="auto"/>
        <w:outlineLvl w:val="9"/>
      </w:pPr>
      <w:r>
        <w:t>我</w:t>
      </w:r>
      <w:r>
        <w:rPr>
          <w:rFonts w:hint="eastAsia"/>
          <w:lang w:eastAsia="zh-CN"/>
        </w:rPr>
        <w:t>单位</w:t>
      </w:r>
      <w:r>
        <w:t xml:space="preserve">通过对本部门项目调查研究、座谈、查阅相关资料， </w:t>
      </w:r>
      <w:r>
        <w:rPr>
          <w:spacing w:val="-17"/>
        </w:rPr>
        <w:t xml:space="preserve">根据相关政策要求进行打分，最终项目自评平均得分为 </w:t>
      </w:r>
      <w:r>
        <w:rPr>
          <w:rFonts w:ascii="Times New Roman" w:hAnsi="Times New Roman" w:eastAsia="Times New Roman"/>
        </w:rPr>
        <w:t>9</w:t>
      </w:r>
      <w:r>
        <w:rPr>
          <w:rFonts w:hint="eastAsia" w:ascii="Times New Roman" w:hAnsi="Times New Roman" w:eastAsia="宋体"/>
          <w:lang w:val="en-US" w:eastAsia="zh-CN"/>
        </w:rPr>
        <w:t>0.67</w:t>
      </w:r>
      <w:r>
        <w:rPr>
          <w:rFonts w:ascii="Times New Roman" w:hAnsi="Times New Roman" w:eastAsia="Times New Roman"/>
        </w:rPr>
        <w:t xml:space="preserve"> </w:t>
      </w:r>
      <w:r>
        <w:t>分， 评价结果为</w:t>
      </w:r>
      <w:r>
        <w:rPr>
          <w:rFonts w:ascii="Times New Roman" w:hAnsi="Times New Roman" w:eastAsia="Times New Roman"/>
        </w:rPr>
        <w:t>“</w:t>
      </w:r>
      <w:r>
        <w:t>优</w:t>
      </w:r>
      <w:r>
        <w:rPr>
          <w:rFonts w:ascii="Times New Roman" w:hAnsi="Times New Roman" w:eastAsia="Times New Roman"/>
        </w:rPr>
        <w:t>”</w:t>
      </w:r>
      <w:r>
        <w:t>。</w:t>
      </w:r>
    </w:p>
    <w:p>
      <w:pPr>
        <w:pStyle w:val="3"/>
        <w:wordWrap/>
        <w:autoSpaceDE w:val="0"/>
        <w:autoSpaceDN w:val="0"/>
        <w:adjustRightInd/>
        <w:snapToGrid/>
        <w:spacing w:before="0" w:after="0" w:line="600" w:lineRule="exact"/>
        <w:ind w:left="0" w:leftChars="0" w:right="0"/>
        <w:textAlignment w:val="auto"/>
        <w:outlineLvl w:val="9"/>
        <w:rPr>
          <w:rFonts w:hint="eastAsia" w:ascii="楷体" w:eastAsia="楷体"/>
        </w:rPr>
      </w:pPr>
      <w:r>
        <w:rPr>
          <w:rFonts w:hint="eastAsia" w:ascii="楷体" w:eastAsia="楷体"/>
        </w:rPr>
        <w:t>（三）重点绩效评价结果</w:t>
      </w:r>
    </w:p>
    <w:p>
      <w:pPr>
        <w:pStyle w:val="3"/>
        <w:wordWrap/>
        <w:autoSpaceDE w:val="0"/>
        <w:autoSpaceDN w:val="0"/>
        <w:adjustRightInd/>
        <w:snapToGrid/>
        <w:spacing w:before="0" w:after="0" w:line="600" w:lineRule="exact"/>
        <w:ind w:left="0" w:leftChars="0" w:right="0" w:firstLine="640"/>
        <w:jc w:val="both"/>
        <w:textAlignment w:val="auto"/>
        <w:outlineLvl w:val="9"/>
      </w:pPr>
      <w:r>
        <w:rPr>
          <w:spacing w:val="-6"/>
        </w:rPr>
        <w:t xml:space="preserve">根据《洛阳市财政局关于开展 </w:t>
      </w:r>
      <w:r>
        <w:rPr>
          <w:rFonts w:ascii="Times New Roman" w:hAnsi="Times New Roman" w:eastAsia="Times New Roman"/>
        </w:rPr>
        <w:t xml:space="preserve">2020 </w:t>
      </w:r>
      <w:r>
        <w:t>年度市级预算绩效自评的工作通知》</w:t>
      </w:r>
      <w:r>
        <w:rPr>
          <w:spacing w:val="5"/>
        </w:rPr>
        <w:t>（</w:t>
      </w:r>
      <w:r>
        <w:t>洛财效〔</w:t>
      </w:r>
      <w:r>
        <w:rPr>
          <w:rFonts w:ascii="Times New Roman" w:hAnsi="Times New Roman" w:eastAsia="Times New Roman"/>
        </w:rPr>
        <w:t>2021</w:t>
      </w:r>
      <w:r>
        <w:t>〕</w:t>
      </w:r>
      <w:r>
        <w:rPr>
          <w:rFonts w:ascii="Times New Roman" w:hAnsi="Times New Roman" w:eastAsia="Times New Roman"/>
        </w:rPr>
        <w:t xml:space="preserve">2 </w:t>
      </w:r>
      <w:r>
        <w:t>号</w:t>
      </w:r>
      <w:r>
        <w:rPr>
          <w:spacing w:val="5"/>
        </w:rPr>
        <w:t>）</w:t>
      </w:r>
      <w:r>
        <w:t>要求，我</w:t>
      </w:r>
      <w:r>
        <w:rPr>
          <w:rFonts w:hint="eastAsia"/>
          <w:lang w:eastAsia="zh-CN"/>
        </w:rPr>
        <w:t>单位</w:t>
      </w:r>
      <w:r>
        <w:t>对</w:t>
      </w:r>
      <w:r>
        <w:rPr>
          <w:rFonts w:ascii="Times New Roman" w:hAnsi="Times New Roman" w:eastAsia="Times New Roman"/>
        </w:rPr>
        <w:t xml:space="preserve">“2020 </w:t>
      </w:r>
      <w:r>
        <w:t>年</w:t>
      </w:r>
      <w:r>
        <w:rPr>
          <w:rFonts w:hint="eastAsia"/>
          <w:lang w:eastAsia="zh-CN"/>
        </w:rPr>
        <w:t>西工区芳林北路（汉屯路</w:t>
      </w:r>
      <w:r>
        <w:rPr>
          <w:rFonts w:hint="eastAsia"/>
          <w:lang w:val="en-US" w:eastAsia="zh-CN"/>
        </w:rPr>
        <w:t>--健康西路</w:t>
      </w:r>
      <w:r>
        <w:rPr>
          <w:rFonts w:hint="eastAsia"/>
          <w:lang w:eastAsia="zh-CN"/>
        </w:rPr>
        <w:t>）</w:t>
      </w:r>
      <w:r>
        <w:rPr>
          <w:rFonts w:ascii="Times New Roman" w:hAnsi="Times New Roman" w:eastAsia="Times New Roman"/>
        </w:rPr>
        <w:t>”</w:t>
      </w:r>
      <w:r>
        <w:t>项目进行行了重点绩效评价。该项</w:t>
      </w:r>
      <w:r>
        <w:rPr>
          <w:spacing w:val="-12"/>
        </w:rPr>
        <w:t>目年初预算为</w:t>
      </w:r>
      <w:r>
        <w:rPr>
          <w:rFonts w:hint="eastAsia" w:ascii="Times New Roman" w:hAnsi="Times New Roman" w:eastAsia="宋体"/>
          <w:lang w:val="en-US" w:eastAsia="zh-CN"/>
        </w:rPr>
        <w:t>500</w:t>
      </w:r>
      <w:r>
        <w:rPr>
          <w:spacing w:val="-17"/>
        </w:rPr>
        <w:t xml:space="preserve">万元，截至 </w:t>
      </w:r>
      <w:r>
        <w:rPr>
          <w:rFonts w:ascii="Times New Roman" w:hAnsi="Times New Roman" w:eastAsia="Times New Roman"/>
        </w:rPr>
        <w:t xml:space="preserve">2021 </w:t>
      </w:r>
      <w:r>
        <w:rPr>
          <w:spacing w:val="-41"/>
        </w:rPr>
        <w:t xml:space="preserve">年 </w:t>
      </w:r>
      <w:r>
        <w:rPr>
          <w:rFonts w:hint="eastAsia" w:ascii="Times New Roman" w:hAnsi="Times New Roman" w:eastAsia="宋体"/>
          <w:lang w:val="en-US" w:eastAsia="zh-CN"/>
        </w:rPr>
        <w:t>9</w:t>
      </w:r>
      <w:r>
        <w:rPr>
          <w:rFonts w:ascii="Times New Roman" w:hAnsi="Times New Roman" w:eastAsia="Times New Roman"/>
        </w:rPr>
        <w:t xml:space="preserve"> </w:t>
      </w:r>
      <w:r>
        <w:rPr>
          <w:spacing w:val="-3"/>
        </w:rPr>
        <w:t>月</w:t>
      </w:r>
      <w:r>
        <w:rPr>
          <w:rFonts w:hint="eastAsia"/>
          <w:spacing w:val="-3"/>
          <w:lang w:eastAsia="zh-CN"/>
        </w:rPr>
        <w:t>，</w:t>
      </w:r>
      <w:r>
        <w:rPr>
          <w:spacing w:val="-3"/>
        </w:rPr>
        <w:t>实际</w:t>
      </w:r>
      <w:r>
        <w:rPr>
          <w:spacing w:val="-16"/>
        </w:rPr>
        <w:t>到位资金为</w:t>
      </w:r>
      <w:r>
        <w:rPr>
          <w:rFonts w:hint="eastAsia" w:ascii="Times New Roman" w:hAnsi="Times New Roman" w:eastAsia="宋体"/>
          <w:lang w:val="en-US" w:eastAsia="zh-CN"/>
        </w:rPr>
        <w:t>500</w:t>
      </w:r>
      <w:r>
        <w:rPr>
          <w:spacing w:val="-8"/>
        </w:rPr>
        <w:t>万元，资金到位率为</w:t>
      </w:r>
      <w:r>
        <w:rPr>
          <w:rFonts w:hint="eastAsia" w:ascii="Times New Roman" w:hAnsi="Times New Roman" w:eastAsia="宋体"/>
          <w:lang w:val="en-US" w:eastAsia="zh-CN"/>
        </w:rPr>
        <w:t>100</w:t>
      </w:r>
      <w:r>
        <w:rPr>
          <w:rFonts w:ascii="Times New Roman" w:hAnsi="Times New Roman" w:eastAsia="Times New Roman"/>
        </w:rPr>
        <w:t>%</w:t>
      </w:r>
      <w:r>
        <w:t>。</w:t>
      </w:r>
    </w:p>
    <w:p>
      <w:pPr>
        <w:pStyle w:val="3"/>
        <w:wordWrap/>
        <w:autoSpaceDE w:val="0"/>
        <w:autoSpaceDN w:val="0"/>
        <w:adjustRightInd/>
        <w:snapToGrid/>
        <w:spacing w:before="0" w:after="0" w:line="600" w:lineRule="exact"/>
        <w:ind w:left="0" w:leftChars="0" w:right="0"/>
        <w:textAlignment w:val="auto"/>
        <w:outlineLvl w:val="9"/>
      </w:pPr>
      <w:r>
        <w:rPr>
          <w:rFonts w:hint="eastAsia"/>
          <w:lang w:val="en-US" w:eastAsia="zh-CN"/>
        </w:rPr>
        <w:t xml:space="preserve">    </w:t>
      </w:r>
      <w:r>
        <w:t>评价组依据评价指标体系及评分标准，通过数据采集、问卷</w:t>
      </w:r>
    </w:p>
    <w:p>
      <w:pPr>
        <w:pStyle w:val="3"/>
        <w:wordWrap/>
        <w:autoSpaceDE w:val="0"/>
        <w:autoSpaceDN w:val="0"/>
        <w:adjustRightInd/>
        <w:snapToGrid/>
        <w:spacing w:before="0" w:after="0" w:line="600" w:lineRule="exact"/>
        <w:ind w:left="0" w:leftChars="0" w:right="0"/>
        <w:textAlignment w:val="auto"/>
        <w:outlineLvl w:val="9"/>
      </w:pPr>
      <w:r>
        <w:rPr>
          <w:spacing w:val="-9"/>
        </w:rPr>
        <w:t xml:space="preserve">调查及访谈，对 </w:t>
      </w:r>
      <w:r>
        <w:rPr>
          <w:rFonts w:ascii="Times New Roman" w:hAnsi="Times New Roman" w:eastAsia="Times New Roman"/>
        </w:rPr>
        <w:t xml:space="preserve">2020 </w:t>
      </w:r>
      <w:r>
        <w:t>年</w:t>
      </w:r>
      <w:r>
        <w:rPr>
          <w:rFonts w:hint="eastAsia"/>
          <w:lang w:eastAsia="zh-CN"/>
        </w:rPr>
        <w:t>西工区芳林北路（汉屯路</w:t>
      </w:r>
      <w:r>
        <w:rPr>
          <w:rFonts w:hint="eastAsia"/>
          <w:lang w:val="en-US" w:eastAsia="zh-CN"/>
        </w:rPr>
        <w:t>--健康西路</w:t>
      </w:r>
      <w:r>
        <w:rPr>
          <w:rFonts w:hint="eastAsia"/>
          <w:lang w:eastAsia="zh-CN"/>
        </w:rPr>
        <w:t>）</w:t>
      </w:r>
      <w:r>
        <w:t>项目绩效进</w:t>
      </w:r>
      <w:r>
        <w:rPr>
          <w:spacing w:val="-9"/>
        </w:rPr>
        <w:t>行客观评价，最终评分结果综合得分为</w:t>
      </w:r>
      <w:r>
        <w:rPr>
          <w:rFonts w:hint="eastAsia" w:ascii="Times New Roman" w:eastAsia="宋体"/>
          <w:lang w:val="en-US" w:eastAsia="zh-CN"/>
        </w:rPr>
        <w:t>93</w:t>
      </w:r>
      <w:r>
        <w:rPr>
          <w:spacing w:val="-4"/>
        </w:rPr>
        <w:t>分，评价等级属于</w:t>
      </w:r>
      <w:r>
        <w:rPr>
          <w:rFonts w:ascii="Times New Roman" w:hAnsi="Times New Roman" w:eastAsia="Times New Roman"/>
        </w:rPr>
        <w:t>“</w:t>
      </w:r>
      <w:r>
        <w:t>优</w:t>
      </w:r>
      <w:r>
        <w:rPr>
          <w:rFonts w:ascii="Times New Roman" w:hAnsi="Times New Roman" w:eastAsia="Times New Roman"/>
        </w:rPr>
        <w:t>”</w:t>
      </w:r>
      <w:r>
        <w:t>。</w:t>
      </w:r>
    </w:p>
    <w:p>
      <w:pPr>
        <w:wordWrap/>
        <w:autoSpaceDE w:val="0"/>
        <w:autoSpaceDN w:val="0"/>
        <w:adjustRightInd/>
        <w:snapToGrid/>
        <w:spacing w:before="0" w:after="0" w:line="600" w:lineRule="exact"/>
        <w:ind w:left="0" w:leftChars="0" w:right="0"/>
        <w:textAlignment w:val="auto"/>
        <w:outlineLvl w:val="9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>九、政府性基金预算财政拨款支出决算情况说明</w:t>
      </w:r>
    </w:p>
    <w:p>
      <w:pPr>
        <w:pStyle w:val="3"/>
        <w:wordWrap/>
        <w:autoSpaceDE w:val="0"/>
        <w:autoSpaceDN w:val="0"/>
        <w:adjustRightInd/>
        <w:snapToGrid/>
        <w:spacing w:before="0" w:after="0" w:line="600" w:lineRule="exact"/>
        <w:ind w:left="0" w:leftChars="0" w:right="0" w:firstLine="640"/>
        <w:jc w:val="both"/>
        <w:textAlignment w:val="auto"/>
        <w:outlineLvl w:val="9"/>
      </w:pPr>
      <w:r>
        <w:rPr>
          <w:rFonts w:ascii="Times New Roman" w:eastAsia="Times New Roman"/>
        </w:rPr>
        <w:t xml:space="preserve">2020 </w:t>
      </w:r>
      <w:r>
        <w:rPr>
          <w:spacing w:val="-5"/>
        </w:rPr>
        <w:t>年度政府性基金预算财政拨款支出决算为</w:t>
      </w:r>
      <w:r>
        <w:rPr>
          <w:rFonts w:hint="eastAsia" w:ascii="Times New Roman" w:eastAsia="宋体"/>
          <w:lang w:val="en-US" w:eastAsia="zh-CN"/>
        </w:rPr>
        <w:t>450</w:t>
      </w:r>
      <w:r>
        <w:t>万</w:t>
      </w:r>
      <w:r>
        <w:rPr>
          <w:spacing w:val="-11"/>
          <w:w w:val="95"/>
        </w:rPr>
        <w:t>元。该资金为本年度上级下达资金，主要用于</w:t>
      </w:r>
      <w:r>
        <w:rPr>
          <w:rFonts w:hint="eastAsia"/>
          <w:spacing w:val="-11"/>
          <w:w w:val="95"/>
          <w:lang w:eastAsia="zh-CN"/>
        </w:rPr>
        <w:t>交通基础施设建设、市政设施建设和其他基础设施建设</w:t>
      </w:r>
      <w:r>
        <w:rPr>
          <w:spacing w:val="-17"/>
        </w:rPr>
        <w:t>。</w:t>
      </w:r>
    </w:p>
    <w:p>
      <w:pPr>
        <w:wordWrap/>
        <w:autoSpaceDE w:val="0"/>
        <w:autoSpaceDN w:val="0"/>
        <w:adjustRightInd/>
        <w:snapToGrid/>
        <w:spacing w:before="0" w:after="0" w:line="600" w:lineRule="exact"/>
        <w:ind w:left="0" w:leftChars="0" w:right="0"/>
        <w:textAlignment w:val="auto"/>
        <w:outlineLvl w:val="9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>十、机关运行经费支出情况说明</w:t>
      </w:r>
    </w:p>
    <w:p>
      <w:pPr>
        <w:pStyle w:val="3"/>
        <w:wordWrap/>
        <w:autoSpaceDE w:val="0"/>
        <w:autoSpaceDN w:val="0"/>
        <w:adjustRightInd/>
        <w:snapToGrid/>
        <w:spacing w:before="0" w:after="0" w:line="600" w:lineRule="exact"/>
        <w:ind w:left="0" w:leftChars="0" w:right="0" w:firstLine="640"/>
        <w:textAlignment w:val="auto"/>
        <w:outlineLvl w:val="9"/>
      </w:pPr>
      <w:r>
        <w:rPr>
          <w:rFonts w:ascii="Times New Roman" w:eastAsia="Times New Roman"/>
        </w:rPr>
        <w:t xml:space="preserve">2020 </w:t>
      </w:r>
      <w:r>
        <w:t>年度机关运行经费年初预算为</w:t>
      </w:r>
      <w:r>
        <w:rPr>
          <w:rFonts w:hint="eastAsia" w:ascii="Times New Roman" w:eastAsia="宋体"/>
          <w:lang w:val="en-US" w:eastAsia="zh-CN"/>
        </w:rPr>
        <w:t>15.13</w:t>
      </w:r>
      <w:r>
        <w:t>万元，支出决算数为</w:t>
      </w:r>
      <w:r>
        <w:rPr>
          <w:rFonts w:hint="eastAsia"/>
          <w:lang w:val="en-US" w:eastAsia="zh-CN"/>
        </w:rPr>
        <w:t>13.11</w:t>
      </w:r>
      <w:r>
        <w:t>元，完成年初预算的</w:t>
      </w:r>
      <w:r>
        <w:rPr>
          <w:rFonts w:hint="eastAsia" w:ascii="Times New Roman" w:eastAsia="宋体"/>
          <w:lang w:val="en-US" w:eastAsia="zh-CN"/>
        </w:rPr>
        <w:t>86</w:t>
      </w:r>
      <w:r>
        <w:rPr>
          <w:rFonts w:ascii="Times New Roman" w:eastAsia="Times New Roman"/>
        </w:rPr>
        <w:t>%</w:t>
      </w:r>
      <w:r>
        <w:t>。决算数与年初预算数存在差异的主要原因</w:t>
      </w:r>
      <w:r>
        <w:rPr>
          <w:rFonts w:hint="eastAsia"/>
          <w:lang w:eastAsia="zh-CN"/>
        </w:rPr>
        <w:t>节约办公</w:t>
      </w:r>
      <w:r>
        <w:t>。</w:t>
      </w:r>
    </w:p>
    <w:p>
      <w:pPr>
        <w:wordWrap/>
        <w:autoSpaceDE w:val="0"/>
        <w:autoSpaceDN w:val="0"/>
        <w:adjustRightInd/>
        <w:snapToGrid/>
        <w:spacing w:before="0" w:after="0" w:line="600" w:lineRule="exact"/>
        <w:ind w:left="0" w:leftChars="0" w:right="0"/>
        <w:textAlignment w:val="auto"/>
        <w:outlineLvl w:val="9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>十一、政府采购支出情况说明</w:t>
      </w:r>
    </w:p>
    <w:p>
      <w:pPr>
        <w:pStyle w:val="3"/>
        <w:wordWrap/>
        <w:autoSpaceDE w:val="0"/>
        <w:autoSpaceDN w:val="0"/>
        <w:adjustRightInd/>
        <w:snapToGrid/>
        <w:spacing w:before="0" w:after="0" w:line="600" w:lineRule="exact"/>
        <w:ind w:left="0" w:leftChars="0" w:right="0" w:firstLine="640"/>
        <w:jc w:val="both"/>
        <w:textAlignment w:val="auto"/>
        <w:outlineLvl w:val="9"/>
      </w:pPr>
      <w:r>
        <w:rPr>
          <w:spacing w:val="-38"/>
        </w:rPr>
        <w:t xml:space="preserve">自 </w:t>
      </w:r>
      <w:r>
        <w:rPr>
          <w:rFonts w:ascii="Times New Roman" w:eastAsia="Times New Roman"/>
        </w:rPr>
        <w:t xml:space="preserve">2019 </w:t>
      </w:r>
      <w:r>
        <w:t>年度起，部门决算填报系统较上年度取消了原有填报说明附表－《政府采购情况表》（</w:t>
      </w:r>
      <w:r>
        <w:rPr>
          <w:rFonts w:ascii="Times New Roman" w:eastAsia="Times New Roman"/>
        </w:rPr>
        <w:t xml:space="preserve">SC06 </w:t>
      </w:r>
      <w:r>
        <w:t>表</w:t>
      </w:r>
      <w:r>
        <w:rPr>
          <w:spacing w:val="3"/>
        </w:rPr>
        <w:t>）</w:t>
      </w:r>
      <w:r>
        <w:t>，故该项内容在此未作说明。</w:t>
      </w:r>
    </w:p>
    <w:p>
      <w:pPr>
        <w:wordWrap/>
        <w:autoSpaceDE w:val="0"/>
        <w:autoSpaceDN w:val="0"/>
        <w:adjustRightInd/>
        <w:snapToGrid/>
        <w:spacing w:before="0" w:after="0" w:line="600" w:lineRule="exact"/>
        <w:ind w:left="0" w:leftChars="0" w:right="0"/>
        <w:textAlignment w:val="auto"/>
        <w:outlineLvl w:val="9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>十二、国有资产占用情况说明</w:t>
      </w:r>
    </w:p>
    <w:p>
      <w:pPr>
        <w:pStyle w:val="3"/>
        <w:widowControl w:val="0"/>
        <w:wordWrap/>
        <w:autoSpaceDE w:val="0"/>
        <w:autoSpaceDN w:val="0"/>
        <w:adjustRightInd/>
        <w:snapToGrid/>
        <w:spacing w:before="0" w:after="0" w:line="6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Times New Roman" w:eastAsia="宋体"/>
          <w:lang w:val="en-US" w:eastAsia="zh-CN"/>
        </w:rPr>
        <w:t xml:space="preserve">        </w:t>
      </w:r>
      <w:r>
        <w:rPr>
          <w:rFonts w:ascii="Times New Roman" w:eastAsia="Times New Roman"/>
        </w:rPr>
        <w:t>2020</w:t>
      </w:r>
      <w:r>
        <w:rPr>
          <w:rFonts w:ascii="Times New Roman" w:eastAsia="Times New Roman"/>
          <w:spacing w:val="-3"/>
        </w:rPr>
        <w:t xml:space="preserve"> </w:t>
      </w:r>
      <w:r>
        <w:rPr>
          <w:spacing w:val="-4"/>
        </w:rPr>
        <w:t>年期末，我部门共有车辆</w:t>
      </w:r>
      <w:r>
        <w:rPr>
          <w:rFonts w:hint="eastAsia" w:ascii="Times New Roman" w:eastAsia="宋体"/>
          <w:lang w:val="en-US" w:eastAsia="zh-CN"/>
        </w:rPr>
        <w:t>1</w:t>
      </w:r>
      <w:r>
        <w:rPr>
          <w:spacing w:val="4"/>
        </w:rPr>
        <w:t>辆，其中：应急保障用</w:t>
      </w:r>
      <w:r>
        <w:rPr>
          <w:spacing w:val="-41"/>
        </w:rPr>
        <w:t>车</w:t>
      </w:r>
      <w:r>
        <w:rPr>
          <w:rFonts w:hint="eastAsia" w:ascii="Times New Roman" w:eastAsia="宋体"/>
          <w:lang w:val="en-US" w:eastAsia="zh-CN"/>
        </w:rPr>
        <w:t>0</w:t>
      </w:r>
      <w:r>
        <w:rPr>
          <w:spacing w:val="-16"/>
        </w:rPr>
        <w:t>、执法执勤用车</w:t>
      </w:r>
      <w:r>
        <w:rPr>
          <w:rFonts w:hint="eastAsia" w:ascii="Times New Roman" w:eastAsia="宋体"/>
          <w:lang w:val="en-US" w:eastAsia="zh-CN"/>
        </w:rPr>
        <w:t>0</w:t>
      </w:r>
      <w:r>
        <w:rPr>
          <w:spacing w:val="-13"/>
        </w:rPr>
        <w:t>辆、特种专业技术用车</w:t>
      </w:r>
      <w:r>
        <w:rPr>
          <w:rFonts w:hint="eastAsia" w:ascii="Times New Roman" w:eastAsia="宋体"/>
          <w:lang w:val="en-US" w:eastAsia="zh-CN"/>
        </w:rPr>
        <w:t>0</w:t>
      </w:r>
      <w:r>
        <w:rPr>
          <w:spacing w:val="-9"/>
        </w:rPr>
        <w:t>辆、其他用</w:t>
      </w:r>
      <w:r>
        <w:t>车</w:t>
      </w:r>
      <w:r>
        <w:rPr>
          <w:rFonts w:hint="eastAsia" w:ascii="Times New Roman" w:eastAsia="宋体"/>
          <w:lang w:val="en-US" w:eastAsia="zh-CN"/>
        </w:rPr>
        <w:t>1</w:t>
      </w:r>
      <w:r>
        <w:t>辆；</w:t>
      </w:r>
      <w:r>
        <w:rPr>
          <w:rFonts w:hint="eastAsia" w:ascii="仿宋_GB2312" w:hAnsi="仿宋_GB2312" w:eastAsia="仿宋_GB2312" w:cs="仿宋_GB2312"/>
        </w:rPr>
        <w:t>单位价值</w:t>
      </w:r>
      <w:r>
        <w:rPr>
          <w:rFonts w:hint="eastAsia" w:ascii="仿宋_GB2312" w:hAnsi="仿宋_GB2312" w:eastAsia="仿宋_GB2312" w:cs="仿宋_GB231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</w:rPr>
        <w:t>万元以上通用设备</w:t>
      </w:r>
      <w:r>
        <w:rPr>
          <w:rFonts w:hint="eastAsia" w:ascii="仿宋_GB2312" w:hAnsi="仿宋_GB2312" w:eastAsia="仿宋_GB2312" w:cs="仿宋_GB231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</w:rPr>
        <w:t>台（套），单位价值</w:t>
      </w:r>
      <w:r>
        <w:rPr>
          <w:rFonts w:hint="eastAsia" w:ascii="仿宋_GB2312" w:hAnsi="仿宋_GB2312" w:eastAsia="仿宋_GB2312" w:cs="仿宋_GB231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</w:rPr>
        <w:t>万元以上专用设备</w:t>
      </w:r>
      <w:r>
        <w:rPr>
          <w:rFonts w:hint="eastAsia" w:ascii="仿宋_GB2312" w:hAnsi="仿宋_GB2312" w:eastAsia="仿宋_GB2312" w:cs="仿宋_GB231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</w:rPr>
        <w:t>台（套）。单位价值</w:t>
      </w:r>
      <w:r>
        <w:rPr>
          <w:rFonts w:hint="eastAsia" w:ascii="仿宋_GB2312" w:hAnsi="仿宋_GB2312" w:eastAsia="仿宋_GB2312" w:cs="仿宋_GB231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</w:rPr>
        <w:t>万元以上专用设备</w:t>
      </w:r>
      <w:r>
        <w:rPr>
          <w:rFonts w:hint="eastAsia" w:ascii="仿宋_GB2312" w:hAnsi="仿宋_GB2312" w:eastAsia="仿宋_GB2312" w:cs="仿宋_GB231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</w:rPr>
        <w:t>台（套）。</w:t>
      </w:r>
    </w:p>
    <w:p>
      <w:pPr>
        <w:pStyle w:val="3"/>
        <w:wordWrap/>
        <w:autoSpaceDE w:val="0"/>
        <w:autoSpaceDN w:val="0"/>
        <w:adjustRightInd/>
        <w:snapToGrid/>
        <w:spacing w:before="0" w:after="0"/>
        <w:ind w:left="0" w:leftChars="0" w:right="0"/>
        <w:jc w:val="right"/>
        <w:textAlignment w:val="auto"/>
        <w:rPr>
          <w:rFonts w:ascii="Times New Roman" w:eastAsia="Times New Roman"/>
        </w:rPr>
      </w:pPr>
    </w:p>
    <w:p>
      <w:pPr>
        <w:pStyle w:val="3"/>
        <w:wordWrap/>
        <w:autoSpaceDE w:val="0"/>
        <w:autoSpaceDN w:val="0"/>
        <w:adjustRightInd/>
        <w:snapToGrid/>
        <w:spacing w:before="0" w:after="0"/>
        <w:ind w:left="0" w:leftChars="0" w:right="0"/>
        <w:jc w:val="both"/>
        <w:textAlignment w:val="auto"/>
        <w:rPr>
          <w:sz w:val="20"/>
        </w:rPr>
      </w:pPr>
    </w:p>
    <w:p>
      <w:pPr>
        <w:pStyle w:val="2"/>
        <w:tabs>
          <w:tab w:val="left" w:pos="2639"/>
        </w:tabs>
        <w:wordWrap/>
        <w:autoSpaceDE w:val="0"/>
        <w:autoSpaceDN w:val="0"/>
        <w:adjustRightInd/>
        <w:snapToGrid/>
        <w:spacing w:before="0" w:after="0"/>
        <w:ind w:left="0" w:leftChars="0" w:right="0"/>
        <w:jc w:val="center"/>
        <w:textAlignment w:val="auto"/>
        <w:rPr>
          <w:b/>
        </w:rPr>
      </w:pPr>
    </w:p>
    <w:p>
      <w:pPr>
        <w:pStyle w:val="2"/>
        <w:tabs>
          <w:tab w:val="left" w:pos="2639"/>
        </w:tabs>
        <w:wordWrap/>
        <w:autoSpaceDE w:val="0"/>
        <w:autoSpaceDN w:val="0"/>
        <w:adjustRightInd/>
        <w:snapToGrid/>
        <w:spacing w:before="0" w:after="0"/>
        <w:ind w:left="0" w:leftChars="0" w:right="0"/>
        <w:jc w:val="center"/>
        <w:textAlignment w:val="auto"/>
        <w:rPr>
          <w:b/>
        </w:rPr>
      </w:pPr>
    </w:p>
    <w:p>
      <w:pPr>
        <w:pStyle w:val="2"/>
        <w:tabs>
          <w:tab w:val="left" w:pos="2639"/>
        </w:tabs>
        <w:wordWrap/>
        <w:autoSpaceDE w:val="0"/>
        <w:autoSpaceDN w:val="0"/>
        <w:adjustRightInd/>
        <w:snapToGrid/>
        <w:spacing w:before="0" w:after="0"/>
        <w:ind w:left="0" w:leftChars="0" w:right="0"/>
        <w:jc w:val="center"/>
        <w:textAlignment w:val="auto"/>
        <w:rPr>
          <w:b/>
        </w:rPr>
      </w:pPr>
    </w:p>
    <w:p>
      <w:pPr>
        <w:pStyle w:val="2"/>
        <w:tabs>
          <w:tab w:val="left" w:pos="2639"/>
        </w:tabs>
        <w:wordWrap/>
        <w:autoSpaceDE w:val="0"/>
        <w:autoSpaceDN w:val="0"/>
        <w:adjustRightInd/>
        <w:snapToGrid/>
        <w:spacing w:before="0" w:after="0"/>
        <w:ind w:left="0" w:leftChars="0" w:right="0"/>
        <w:jc w:val="center"/>
        <w:textAlignment w:val="auto"/>
        <w:rPr>
          <w:b/>
        </w:rPr>
      </w:pPr>
    </w:p>
    <w:p>
      <w:pPr>
        <w:pStyle w:val="2"/>
        <w:tabs>
          <w:tab w:val="left" w:pos="2639"/>
        </w:tabs>
        <w:wordWrap/>
        <w:autoSpaceDE w:val="0"/>
        <w:autoSpaceDN w:val="0"/>
        <w:adjustRightInd/>
        <w:snapToGrid/>
        <w:spacing w:before="0" w:after="0"/>
        <w:ind w:left="0" w:leftChars="0" w:right="0"/>
        <w:jc w:val="center"/>
        <w:textAlignment w:val="auto"/>
        <w:rPr>
          <w:b/>
        </w:rPr>
      </w:pPr>
    </w:p>
    <w:p>
      <w:pPr>
        <w:pStyle w:val="2"/>
        <w:tabs>
          <w:tab w:val="left" w:pos="2639"/>
        </w:tabs>
        <w:wordWrap/>
        <w:autoSpaceDE w:val="0"/>
        <w:autoSpaceDN w:val="0"/>
        <w:adjustRightInd/>
        <w:snapToGrid/>
        <w:spacing w:before="0" w:after="0"/>
        <w:ind w:left="0" w:leftChars="0" w:right="0"/>
        <w:jc w:val="center"/>
        <w:textAlignment w:val="auto"/>
        <w:rPr>
          <w:b/>
        </w:rPr>
      </w:pPr>
    </w:p>
    <w:p>
      <w:pPr>
        <w:pStyle w:val="2"/>
        <w:tabs>
          <w:tab w:val="left" w:pos="2639"/>
        </w:tabs>
        <w:wordWrap/>
        <w:autoSpaceDE w:val="0"/>
        <w:autoSpaceDN w:val="0"/>
        <w:adjustRightInd/>
        <w:snapToGrid/>
        <w:spacing w:before="0" w:after="0"/>
        <w:ind w:left="0" w:leftChars="0" w:right="0"/>
        <w:jc w:val="center"/>
        <w:textAlignment w:val="auto"/>
        <w:rPr>
          <w:b/>
        </w:rPr>
      </w:pPr>
    </w:p>
    <w:p>
      <w:pPr>
        <w:pStyle w:val="2"/>
        <w:tabs>
          <w:tab w:val="left" w:pos="2639"/>
        </w:tabs>
        <w:wordWrap/>
        <w:autoSpaceDE w:val="0"/>
        <w:autoSpaceDN w:val="0"/>
        <w:adjustRightInd/>
        <w:snapToGrid/>
        <w:spacing w:before="0" w:after="0"/>
        <w:ind w:left="0" w:leftChars="0" w:right="0"/>
        <w:jc w:val="center"/>
        <w:textAlignment w:val="auto"/>
        <w:rPr>
          <w:b/>
        </w:rPr>
      </w:pPr>
    </w:p>
    <w:p>
      <w:pPr>
        <w:pStyle w:val="2"/>
        <w:tabs>
          <w:tab w:val="left" w:pos="2639"/>
        </w:tabs>
        <w:wordWrap/>
        <w:autoSpaceDE w:val="0"/>
        <w:autoSpaceDN w:val="0"/>
        <w:adjustRightInd/>
        <w:snapToGrid/>
        <w:spacing w:before="0" w:after="0"/>
        <w:ind w:left="0" w:leftChars="0" w:right="0"/>
        <w:jc w:val="center"/>
        <w:textAlignment w:val="auto"/>
        <w:rPr>
          <w:b/>
        </w:rPr>
      </w:pPr>
      <w:r>
        <w:rPr>
          <w:b/>
        </w:rPr>
        <w:t>第四部分</w:t>
      </w:r>
      <w:r>
        <w:rPr>
          <w:b/>
        </w:rPr>
        <w:tab/>
      </w:r>
      <w:r>
        <w:rPr>
          <w:b/>
        </w:rPr>
        <w:t>名词解释</w:t>
      </w:r>
    </w:p>
    <w:p>
      <w:pPr>
        <w:pStyle w:val="3"/>
        <w:widowControl w:val="0"/>
        <w:wordWrap/>
        <w:autoSpaceDE w:val="0"/>
        <w:autoSpaceDN w:val="0"/>
        <w:adjustRightInd/>
        <w:snapToGrid/>
        <w:spacing w:before="0" w:after="0" w:line="600" w:lineRule="exact"/>
        <w:ind w:right="0"/>
        <w:textAlignment w:val="auto"/>
        <w:outlineLvl w:val="9"/>
      </w:pPr>
      <w:r>
        <w:rPr>
          <w:rFonts w:hint="eastAsia" w:ascii="楷体" w:eastAsia="楷体"/>
          <w:spacing w:val="-8"/>
          <w:w w:val="95"/>
          <w:lang w:val="en-US" w:eastAsia="zh-CN"/>
        </w:rPr>
        <w:t xml:space="preserve">    </w:t>
      </w:r>
      <w:r>
        <w:rPr>
          <w:rFonts w:hint="eastAsia" w:ascii="楷体" w:eastAsia="楷体"/>
          <w:spacing w:val="-8"/>
          <w:w w:val="95"/>
        </w:rPr>
        <w:t>一、财政拨款收入</w:t>
      </w:r>
      <w:r>
        <w:rPr>
          <w:spacing w:val="-8"/>
          <w:w w:val="95"/>
        </w:rPr>
        <w:t xml:space="preserve">：单位从同级政府财政部门取得的财政预 </w:t>
      </w:r>
      <w:r>
        <w:rPr>
          <w:spacing w:val="-8"/>
        </w:rPr>
        <w:t>算资金。</w:t>
      </w:r>
    </w:p>
    <w:p>
      <w:pPr>
        <w:pStyle w:val="3"/>
        <w:widowControl w:val="0"/>
        <w:wordWrap/>
        <w:autoSpaceDE w:val="0"/>
        <w:autoSpaceDN w:val="0"/>
        <w:adjustRightInd/>
        <w:snapToGrid/>
        <w:spacing w:before="0" w:after="0" w:line="600" w:lineRule="exact"/>
        <w:ind w:left="0" w:leftChars="0" w:right="0" w:firstLine="640"/>
        <w:textAlignment w:val="auto"/>
        <w:outlineLvl w:val="9"/>
      </w:pPr>
      <w:r>
        <w:rPr>
          <w:rFonts w:hint="eastAsia" w:ascii="楷体" w:eastAsia="楷体"/>
          <w:spacing w:val="-17"/>
          <w:w w:val="95"/>
        </w:rPr>
        <w:t>二、事业收入：</w:t>
      </w:r>
      <w:r>
        <w:rPr>
          <w:w w:val="95"/>
        </w:rPr>
        <w:t xml:space="preserve">事业单位开展专业业务活动及其辅助活动取 </w:t>
      </w:r>
      <w:r>
        <w:t>得的收入。</w:t>
      </w:r>
    </w:p>
    <w:p>
      <w:pPr>
        <w:pStyle w:val="3"/>
        <w:widowControl w:val="0"/>
        <w:wordWrap/>
        <w:autoSpaceDE w:val="0"/>
        <w:autoSpaceDN w:val="0"/>
        <w:adjustRightInd/>
        <w:snapToGrid/>
        <w:spacing w:before="0" w:after="0" w:line="600" w:lineRule="exact"/>
        <w:ind w:left="0" w:leftChars="0" w:right="0" w:firstLine="640"/>
        <w:textAlignment w:val="auto"/>
        <w:outlineLvl w:val="9"/>
      </w:pPr>
      <w:r>
        <w:rPr>
          <w:rFonts w:hint="eastAsia" w:ascii="楷体" w:eastAsia="楷体"/>
          <w:spacing w:val="-14"/>
          <w:w w:val="95"/>
        </w:rPr>
        <w:t>三、上级补助收入：</w:t>
      </w:r>
      <w:r>
        <w:rPr>
          <w:w w:val="95"/>
        </w:rPr>
        <w:t xml:space="preserve">事业单位从主管部门和上级单位取得的 </w:t>
      </w:r>
      <w:r>
        <w:t>非财政补助收入。</w:t>
      </w:r>
    </w:p>
    <w:p>
      <w:pPr>
        <w:pStyle w:val="3"/>
        <w:widowControl w:val="0"/>
        <w:wordWrap/>
        <w:autoSpaceDE w:val="0"/>
        <w:autoSpaceDN w:val="0"/>
        <w:adjustRightInd/>
        <w:snapToGrid/>
        <w:spacing w:before="0" w:after="0" w:line="600" w:lineRule="exact"/>
        <w:ind w:left="0" w:leftChars="0" w:right="0" w:firstLine="640"/>
        <w:textAlignment w:val="auto"/>
        <w:outlineLvl w:val="9"/>
      </w:pPr>
      <w:r>
        <w:rPr>
          <w:rFonts w:hint="eastAsia" w:ascii="楷体" w:eastAsia="楷体"/>
          <w:spacing w:val="-8"/>
        </w:rPr>
        <w:t>四、附属单位上缴收入</w:t>
      </w:r>
      <w:r>
        <w:rPr>
          <w:spacing w:val="-8"/>
        </w:rPr>
        <w:t>：事业单位取得附属独立核算单位根据有关规定上缴的收入。</w:t>
      </w:r>
    </w:p>
    <w:p>
      <w:pPr>
        <w:pStyle w:val="3"/>
        <w:widowControl w:val="0"/>
        <w:wordWrap/>
        <w:autoSpaceDE w:val="0"/>
        <w:autoSpaceDN w:val="0"/>
        <w:adjustRightInd/>
        <w:snapToGrid/>
        <w:spacing w:before="0" w:after="0" w:line="600" w:lineRule="exact"/>
        <w:ind w:left="0" w:leftChars="0" w:right="0" w:firstLine="640"/>
        <w:textAlignment w:val="auto"/>
        <w:outlineLvl w:val="9"/>
      </w:pPr>
      <w:r>
        <w:rPr>
          <w:rFonts w:hint="eastAsia" w:ascii="楷体" w:eastAsia="楷体"/>
          <w:spacing w:val="-10"/>
          <w:w w:val="95"/>
        </w:rPr>
        <w:t>五、经营收入</w:t>
      </w:r>
      <w:r>
        <w:rPr>
          <w:spacing w:val="-8"/>
          <w:w w:val="95"/>
        </w:rPr>
        <w:t xml:space="preserve">：事业单位在专业业务活动及其辅助活动之外 </w:t>
      </w:r>
      <w:r>
        <w:rPr>
          <w:spacing w:val="-8"/>
        </w:rPr>
        <w:t>开展非独立核算经营活动取得的收入。</w:t>
      </w:r>
    </w:p>
    <w:p>
      <w:pPr>
        <w:pStyle w:val="3"/>
        <w:widowControl w:val="0"/>
        <w:wordWrap/>
        <w:autoSpaceDE w:val="0"/>
        <w:autoSpaceDN w:val="0"/>
        <w:adjustRightInd/>
        <w:snapToGrid/>
        <w:spacing w:before="0" w:after="0" w:line="600" w:lineRule="exact"/>
        <w:ind w:left="0" w:leftChars="0" w:right="0" w:firstLine="640"/>
        <w:textAlignment w:val="auto"/>
        <w:outlineLvl w:val="9"/>
      </w:pPr>
      <w:r>
        <w:rPr>
          <w:rFonts w:hint="eastAsia" w:ascii="楷体" w:hAnsi="楷体" w:eastAsia="楷体"/>
          <w:spacing w:val="-13"/>
          <w:w w:val="95"/>
        </w:rPr>
        <w:t>六、其他收入</w:t>
      </w:r>
      <w:r>
        <w:rPr>
          <w:spacing w:val="-12"/>
          <w:w w:val="95"/>
        </w:rPr>
        <w:t>：单位取得的除</w:t>
      </w:r>
      <w:r>
        <w:rPr>
          <w:rFonts w:ascii="Times New Roman" w:hAnsi="Times New Roman" w:eastAsia="Times New Roman"/>
          <w:w w:val="95"/>
        </w:rPr>
        <w:t>“</w:t>
      </w:r>
      <w:r>
        <w:rPr>
          <w:w w:val="95"/>
        </w:rPr>
        <w:t>财政拨款收入</w:t>
      </w:r>
      <w:r>
        <w:rPr>
          <w:rFonts w:ascii="Times New Roman" w:hAnsi="Times New Roman" w:eastAsia="Times New Roman"/>
          <w:w w:val="95"/>
        </w:rPr>
        <w:t>”</w:t>
      </w:r>
      <w:r>
        <w:rPr>
          <w:spacing w:val="-67"/>
          <w:w w:val="95"/>
        </w:rPr>
        <w:t>、</w:t>
      </w:r>
      <w:r>
        <w:rPr>
          <w:rFonts w:ascii="Times New Roman" w:hAnsi="Times New Roman" w:eastAsia="Times New Roman"/>
          <w:w w:val="95"/>
        </w:rPr>
        <w:t>“</w:t>
      </w:r>
      <w:r>
        <w:rPr>
          <w:w w:val="95"/>
        </w:rPr>
        <w:t>事业收入</w:t>
      </w:r>
      <w:r>
        <w:rPr>
          <w:rFonts w:ascii="Times New Roman" w:hAnsi="Times New Roman" w:eastAsia="Times New Roman"/>
          <w:w w:val="95"/>
        </w:rPr>
        <w:t>”</w:t>
      </w:r>
      <w:r>
        <w:rPr>
          <w:w w:val="95"/>
        </w:rPr>
        <w:t xml:space="preserve">、  </w:t>
      </w:r>
      <w:r>
        <w:rPr>
          <w:rFonts w:ascii="Times New Roman" w:hAnsi="Times New Roman" w:eastAsia="Times New Roman"/>
        </w:rPr>
        <w:t>“</w:t>
      </w:r>
      <w:r>
        <w:t>上级补助收入</w:t>
      </w:r>
      <w:r>
        <w:rPr>
          <w:rFonts w:ascii="Times New Roman" w:hAnsi="Times New Roman" w:eastAsia="Times New Roman"/>
        </w:rPr>
        <w:t>”</w:t>
      </w:r>
      <w:r>
        <w:rPr>
          <w:spacing w:val="-5"/>
        </w:rPr>
        <w:t>、</w:t>
      </w:r>
      <w:r>
        <w:rPr>
          <w:rFonts w:ascii="Times New Roman" w:hAnsi="Times New Roman" w:eastAsia="Times New Roman"/>
        </w:rPr>
        <w:t>“</w:t>
      </w:r>
      <w:r>
        <w:t>附属单位上缴收入</w:t>
      </w:r>
      <w:r>
        <w:rPr>
          <w:rFonts w:ascii="Times New Roman" w:hAnsi="Times New Roman" w:eastAsia="Times New Roman"/>
        </w:rPr>
        <w:t>”</w:t>
      </w:r>
      <w:r>
        <w:rPr>
          <w:spacing w:val="-5"/>
        </w:rPr>
        <w:t>、</w:t>
      </w:r>
      <w:r>
        <w:rPr>
          <w:rFonts w:ascii="Times New Roman" w:hAnsi="Times New Roman" w:eastAsia="Times New Roman"/>
        </w:rPr>
        <w:t>“</w:t>
      </w:r>
      <w:r>
        <w:t>经营收入</w:t>
      </w:r>
      <w:r>
        <w:rPr>
          <w:rFonts w:ascii="Times New Roman" w:hAnsi="Times New Roman" w:eastAsia="Times New Roman"/>
        </w:rPr>
        <w:t>”</w:t>
      </w:r>
      <w:r>
        <w:t>以外的各项收入。</w:t>
      </w:r>
    </w:p>
    <w:p>
      <w:pPr>
        <w:pStyle w:val="3"/>
        <w:widowControl w:val="0"/>
        <w:wordWrap/>
        <w:autoSpaceDE w:val="0"/>
        <w:autoSpaceDN w:val="0"/>
        <w:adjustRightInd/>
        <w:snapToGrid/>
        <w:spacing w:before="0" w:after="0" w:line="600" w:lineRule="exact"/>
        <w:ind w:left="0" w:leftChars="0" w:right="0" w:firstLine="640"/>
        <w:jc w:val="both"/>
        <w:textAlignment w:val="auto"/>
        <w:outlineLvl w:val="9"/>
      </w:pPr>
      <w:r>
        <w:rPr>
          <w:rFonts w:hint="eastAsia" w:ascii="楷体" w:eastAsia="楷体"/>
          <w:spacing w:val="-8"/>
        </w:rPr>
        <w:t>七、用事业基金弥补收支差额</w:t>
      </w:r>
      <w:r>
        <w:rPr>
          <w:spacing w:val="-8"/>
        </w:rPr>
        <w:t>：事业单位在当年收入不足以</w:t>
      </w:r>
      <w:r>
        <w:rPr>
          <w:spacing w:val="-14"/>
          <w:w w:val="95"/>
        </w:rPr>
        <w:t>安排当年支出的情况下，使用以前年度积累的事业基金</w:t>
      </w:r>
      <w:r>
        <w:rPr>
          <w:w w:val="95"/>
        </w:rPr>
        <w:t xml:space="preserve">（事业单 </w:t>
      </w:r>
      <w:r>
        <w:rPr>
          <w:spacing w:val="-8"/>
        </w:rPr>
        <w:t>位当年收支相抵后按国家规定提取、用于弥补以后年度收支差额的基金）弥补当年收支缺口的资金。</w:t>
      </w:r>
    </w:p>
    <w:p>
      <w:pPr>
        <w:pStyle w:val="3"/>
        <w:widowControl w:val="0"/>
        <w:wordWrap/>
        <w:autoSpaceDE w:val="0"/>
        <w:autoSpaceDN w:val="0"/>
        <w:adjustRightInd/>
        <w:snapToGrid/>
        <w:spacing w:before="0" w:after="0" w:line="600" w:lineRule="exact"/>
        <w:ind w:left="0" w:leftChars="0" w:right="0" w:firstLine="640"/>
        <w:textAlignment w:val="auto"/>
        <w:outlineLvl w:val="9"/>
      </w:pPr>
      <w:r>
        <w:rPr>
          <w:rFonts w:hint="eastAsia" w:ascii="楷体" w:eastAsia="楷体"/>
          <w:spacing w:val="-8"/>
          <w:w w:val="95"/>
        </w:rPr>
        <w:t>八、基本支出</w:t>
      </w:r>
      <w:r>
        <w:rPr>
          <w:spacing w:val="-10"/>
          <w:w w:val="95"/>
        </w:rPr>
        <w:t xml:space="preserve">：为保障机构正常运转、完成日常工作任务而 </w:t>
      </w:r>
      <w:r>
        <w:rPr>
          <w:spacing w:val="-10"/>
        </w:rPr>
        <w:t>发生的人员支出和公用支出。</w:t>
      </w:r>
    </w:p>
    <w:p>
      <w:pPr>
        <w:pStyle w:val="3"/>
        <w:widowControl w:val="0"/>
        <w:wordWrap/>
        <w:autoSpaceDE w:val="0"/>
        <w:autoSpaceDN w:val="0"/>
        <w:adjustRightInd/>
        <w:snapToGrid/>
        <w:spacing w:before="0" w:after="0" w:line="600" w:lineRule="exact"/>
        <w:ind w:left="0" w:leftChars="0" w:right="0" w:firstLine="640"/>
        <w:textAlignment w:val="auto"/>
        <w:outlineLvl w:val="9"/>
      </w:pPr>
      <w:r>
        <w:rPr>
          <w:rFonts w:hint="eastAsia" w:ascii="楷体" w:eastAsia="楷体"/>
          <w:spacing w:val="-17"/>
          <w:w w:val="95"/>
        </w:rPr>
        <w:t>九、项目支出：</w:t>
      </w:r>
      <w:r>
        <w:rPr>
          <w:w w:val="95"/>
        </w:rPr>
        <w:t xml:space="preserve">基本支出之外为完成特定行政任务和事业发 </w:t>
      </w:r>
      <w:r>
        <w:t>展目标所发生的支出。</w:t>
      </w:r>
    </w:p>
    <w:p>
      <w:pPr>
        <w:pStyle w:val="3"/>
        <w:widowControl w:val="0"/>
        <w:wordWrap/>
        <w:autoSpaceDE w:val="0"/>
        <w:autoSpaceDN w:val="0"/>
        <w:adjustRightInd/>
        <w:snapToGrid/>
        <w:spacing w:before="0" w:after="0" w:line="600" w:lineRule="exact"/>
        <w:ind w:left="0" w:leftChars="0" w:right="0" w:firstLine="640"/>
        <w:jc w:val="both"/>
        <w:textAlignment w:val="auto"/>
        <w:outlineLvl w:val="9"/>
      </w:pPr>
      <w:r>
        <w:rPr>
          <w:rFonts w:hint="eastAsia" w:ascii="楷体" w:hAnsi="楷体" w:eastAsia="楷体"/>
          <w:spacing w:val="-8"/>
          <w:w w:val="95"/>
        </w:rPr>
        <w:t>十、</w:t>
      </w:r>
      <w:r>
        <w:rPr>
          <w:rFonts w:ascii="Times New Roman" w:hAnsi="Times New Roman" w:eastAsia="Times New Roman"/>
          <w:w w:val="95"/>
        </w:rPr>
        <w:t>“</w:t>
      </w:r>
      <w:r>
        <w:rPr>
          <w:rFonts w:hint="eastAsia" w:ascii="楷体" w:hAnsi="楷体" w:eastAsia="楷体"/>
          <w:w w:val="95"/>
        </w:rPr>
        <w:t>三公</w:t>
      </w:r>
      <w:r>
        <w:rPr>
          <w:rFonts w:ascii="Times New Roman" w:hAnsi="Times New Roman" w:eastAsia="Times New Roman"/>
          <w:w w:val="95"/>
        </w:rPr>
        <w:t>”</w:t>
      </w:r>
      <w:r>
        <w:rPr>
          <w:rFonts w:hint="eastAsia" w:ascii="楷体" w:hAnsi="楷体" w:eastAsia="楷体"/>
          <w:w w:val="95"/>
        </w:rPr>
        <w:t>经费</w:t>
      </w:r>
      <w:r>
        <w:rPr>
          <w:spacing w:val="-4"/>
          <w:w w:val="95"/>
        </w:rPr>
        <w:t>：纳入同级财政预决算管理</w:t>
      </w:r>
      <w:r>
        <w:rPr>
          <w:rFonts w:ascii="Times New Roman" w:hAnsi="Times New Roman" w:eastAsia="Times New Roman"/>
          <w:w w:val="95"/>
        </w:rPr>
        <w:t>“</w:t>
      </w:r>
      <w:r>
        <w:rPr>
          <w:w w:val="95"/>
        </w:rPr>
        <w:t>三公</w:t>
      </w:r>
      <w:r>
        <w:rPr>
          <w:rFonts w:ascii="Times New Roman" w:hAnsi="Times New Roman" w:eastAsia="Times New Roman"/>
          <w:w w:val="95"/>
        </w:rPr>
        <w:t>”</w:t>
      </w:r>
      <w:r>
        <w:rPr>
          <w:spacing w:val="-3"/>
          <w:w w:val="95"/>
        </w:rPr>
        <w:t xml:space="preserve">经费，指 </w:t>
      </w:r>
      <w:r>
        <w:rPr>
          <w:spacing w:val="-6"/>
        </w:rPr>
        <w:t>部门使用财政拨款安排的因公出国</w:t>
      </w:r>
      <w:r>
        <w:t>（境</w:t>
      </w:r>
      <w:r>
        <w:rPr>
          <w:spacing w:val="-39"/>
        </w:rPr>
        <w:t>）</w:t>
      </w:r>
      <w:r>
        <w:rPr>
          <w:spacing w:val="-7"/>
        </w:rPr>
        <w:t>费、公务用车购置及运</w:t>
      </w:r>
      <w:r>
        <w:rPr>
          <w:spacing w:val="-13"/>
          <w:w w:val="95"/>
        </w:rPr>
        <w:t>行费和公务接待费。其中，因公出国</w:t>
      </w:r>
      <w:r>
        <w:rPr>
          <w:w w:val="95"/>
        </w:rPr>
        <w:t>（境</w:t>
      </w:r>
      <w:r>
        <w:rPr>
          <w:spacing w:val="-29"/>
          <w:w w:val="95"/>
        </w:rPr>
        <w:t>）</w:t>
      </w:r>
      <w:r>
        <w:rPr>
          <w:w w:val="95"/>
        </w:rPr>
        <w:t>费反映单位公务出国</w:t>
      </w:r>
      <w:r>
        <w:t>（境</w:t>
      </w:r>
      <w:r>
        <w:rPr>
          <w:spacing w:val="-24"/>
        </w:rPr>
        <w:t>）</w:t>
      </w:r>
      <w:r>
        <w:rPr>
          <w:spacing w:val="-8"/>
        </w:rPr>
        <w:t>的国际旅费、国外城市间交通费、住宿费、伙食费、培训</w:t>
      </w:r>
      <w:r>
        <w:rPr>
          <w:spacing w:val="-12"/>
          <w:w w:val="95"/>
        </w:rPr>
        <w:t xml:space="preserve">费、公杂费等支出；公务用车购置及运行费反映单位公务用车车 </w:t>
      </w:r>
      <w:r>
        <w:rPr>
          <w:spacing w:val="-14"/>
          <w:w w:val="95"/>
        </w:rPr>
        <w:t>辆购置支出</w:t>
      </w:r>
      <w:r>
        <w:rPr>
          <w:w w:val="95"/>
        </w:rPr>
        <w:t>（含车辆购置税</w:t>
      </w:r>
      <w:r>
        <w:rPr>
          <w:spacing w:val="-22"/>
          <w:w w:val="95"/>
        </w:rPr>
        <w:t>）</w:t>
      </w:r>
      <w:r>
        <w:rPr>
          <w:spacing w:val="-10"/>
          <w:w w:val="95"/>
        </w:rPr>
        <w:t xml:space="preserve">及租用费、燃料费、维修费、过路 </w:t>
      </w:r>
      <w:r>
        <w:rPr>
          <w:spacing w:val="-14"/>
          <w:w w:val="95"/>
        </w:rPr>
        <w:t xml:space="preserve">过桥费、保险费、安全奖励费用等支出；公务接待费反映单位按 </w:t>
      </w:r>
      <w:r>
        <w:rPr>
          <w:spacing w:val="-14"/>
        </w:rPr>
        <w:t>规定开支的各类公务接待（含外宾接待）支出。</w:t>
      </w:r>
    </w:p>
    <w:p>
      <w:pPr>
        <w:pStyle w:val="3"/>
        <w:widowControl w:val="0"/>
        <w:wordWrap/>
        <w:autoSpaceDE w:val="0"/>
        <w:autoSpaceDN w:val="0"/>
        <w:adjustRightInd/>
        <w:snapToGrid/>
        <w:spacing w:before="0" w:after="0" w:line="600" w:lineRule="exact"/>
        <w:ind w:left="0" w:leftChars="0" w:right="0" w:firstLine="640"/>
        <w:textAlignment w:val="auto"/>
        <w:outlineLvl w:val="9"/>
      </w:pPr>
      <w:r>
        <w:rPr>
          <w:rFonts w:hint="eastAsia" w:ascii="楷体" w:eastAsia="楷体"/>
          <w:spacing w:val="-6"/>
        </w:rPr>
        <w:t>十一、机关运行经费</w:t>
      </w:r>
      <w:r>
        <w:rPr>
          <w:spacing w:val="-11"/>
        </w:rPr>
        <w:t>：为保障行政单位</w:t>
      </w:r>
      <w:r>
        <w:t>（含参照公务员法管理的事业单位</w:t>
      </w:r>
      <w:r>
        <w:rPr>
          <w:spacing w:val="-58"/>
        </w:rPr>
        <w:t>）</w:t>
      </w:r>
      <w:r>
        <w:rPr>
          <w:spacing w:val="-4"/>
        </w:rPr>
        <w:t>运行用于购买货物和服务的各项资金，包括办公</w:t>
      </w:r>
      <w:r>
        <w:rPr>
          <w:spacing w:val="-12"/>
        </w:rPr>
        <w:t>及印刷费、邮电费、差旅费、会议费、福利费、日常维修费、专用材料及一般设备购置费、办公用房水电费、办公用房取暖费、</w:t>
      </w:r>
      <w:r>
        <w:rPr>
          <w:spacing w:val="-15"/>
        </w:rPr>
        <w:t>办公用房物业管理费、公务用车运行维护费以及其他费用。</w:t>
      </w:r>
      <w:bookmarkStart w:id="0" w:name="_GoBack"/>
      <w:bookmarkEnd w:id="0"/>
    </w:p>
    <w:p>
      <w:pPr>
        <w:pStyle w:val="3"/>
        <w:widowControl w:val="0"/>
        <w:wordWrap/>
        <w:autoSpaceDE w:val="0"/>
        <w:autoSpaceDN w:val="0"/>
        <w:adjustRightInd/>
        <w:snapToGrid/>
        <w:spacing w:before="0" w:after="0" w:line="600" w:lineRule="exact"/>
        <w:ind w:left="0" w:leftChars="0" w:right="0" w:firstLine="640"/>
        <w:jc w:val="both"/>
        <w:textAlignment w:val="auto"/>
        <w:outlineLvl w:val="9"/>
      </w:pPr>
      <w:r>
        <w:rPr>
          <w:rFonts w:hint="eastAsia" w:ascii="楷体" w:eastAsia="楷体"/>
          <w:spacing w:val="-8"/>
          <w:w w:val="95"/>
        </w:rPr>
        <w:t>十二、工资福利支出</w:t>
      </w:r>
      <w:r>
        <w:rPr>
          <w:spacing w:val="-8"/>
          <w:w w:val="95"/>
        </w:rPr>
        <w:t xml:space="preserve">：单位支付给在职职工和编制外长期聘 </w:t>
      </w:r>
      <w:r>
        <w:rPr>
          <w:spacing w:val="-14"/>
          <w:w w:val="95"/>
        </w:rPr>
        <w:t xml:space="preserve">用人员的各类劳动报酬，以及为上述人员缴纳的各项社会保险费 </w:t>
      </w:r>
      <w:r>
        <w:rPr>
          <w:spacing w:val="-14"/>
        </w:rPr>
        <w:t>等。</w:t>
      </w:r>
    </w:p>
    <w:p>
      <w:pPr>
        <w:pStyle w:val="3"/>
        <w:widowControl w:val="0"/>
        <w:wordWrap/>
        <w:autoSpaceDE w:val="0"/>
        <w:autoSpaceDN w:val="0"/>
        <w:adjustRightInd/>
        <w:snapToGrid/>
        <w:spacing w:before="0" w:after="0" w:line="600" w:lineRule="exact"/>
        <w:ind w:left="0" w:leftChars="0" w:right="0"/>
        <w:textAlignment w:val="auto"/>
        <w:outlineLvl w:val="9"/>
      </w:pPr>
      <w:r>
        <w:rPr>
          <w:rFonts w:hint="eastAsia" w:ascii="楷体" w:eastAsia="楷体"/>
          <w:lang w:val="en-US" w:eastAsia="zh-CN"/>
        </w:rPr>
        <w:t xml:space="preserve">    </w:t>
      </w:r>
      <w:r>
        <w:rPr>
          <w:rFonts w:hint="eastAsia" w:ascii="楷体" w:eastAsia="楷体"/>
        </w:rPr>
        <w:t>十三、商品和服务支出：</w:t>
      </w:r>
      <w:r>
        <w:t>单位购买商品和服务的支出。</w:t>
      </w:r>
    </w:p>
    <w:p>
      <w:pPr>
        <w:pStyle w:val="3"/>
        <w:widowControl w:val="0"/>
        <w:wordWrap/>
        <w:autoSpaceDE w:val="0"/>
        <w:autoSpaceDN w:val="0"/>
        <w:adjustRightInd/>
        <w:snapToGrid/>
        <w:spacing w:before="0" w:after="0" w:line="600" w:lineRule="exact"/>
        <w:ind w:left="0" w:leftChars="0" w:right="0" w:firstLine="640"/>
        <w:textAlignment w:val="auto"/>
        <w:outlineLvl w:val="9"/>
      </w:pPr>
      <w:r>
        <w:rPr>
          <w:rFonts w:hint="eastAsia" w:ascii="楷体" w:eastAsia="楷体"/>
          <w:spacing w:val="-8"/>
          <w:w w:val="95"/>
        </w:rPr>
        <w:t>十四、对个人和家庭的补助支出</w:t>
      </w:r>
      <w:r>
        <w:rPr>
          <w:spacing w:val="-8"/>
          <w:w w:val="95"/>
        </w:rPr>
        <w:t xml:space="preserve">：单位用于对个人和家庭的 </w:t>
      </w:r>
      <w:r>
        <w:rPr>
          <w:spacing w:val="-8"/>
        </w:rPr>
        <w:t>补助支出。</w:t>
      </w:r>
    </w:p>
    <w:p>
      <w:pPr>
        <w:pStyle w:val="3"/>
        <w:widowControl w:val="0"/>
        <w:wordWrap/>
        <w:autoSpaceDE w:val="0"/>
        <w:autoSpaceDN w:val="0"/>
        <w:adjustRightInd/>
        <w:snapToGrid/>
        <w:spacing w:before="0" w:after="0" w:line="600" w:lineRule="exact"/>
        <w:ind w:left="0" w:leftChars="0" w:right="0" w:firstLine="640"/>
        <w:jc w:val="both"/>
        <w:textAlignment w:val="auto"/>
        <w:outlineLvl w:val="9"/>
      </w:pPr>
      <w:r>
        <w:rPr>
          <w:rFonts w:hint="eastAsia" w:ascii="楷体" w:eastAsia="楷体"/>
          <w:spacing w:val="-6"/>
        </w:rPr>
        <w:t>十五、年末结转</w:t>
      </w:r>
      <w:r>
        <w:rPr>
          <w:spacing w:val="-10"/>
        </w:rPr>
        <w:t>：本年度或以前年度预算安排，已执行但尚</w:t>
      </w:r>
      <w:r>
        <w:rPr>
          <w:spacing w:val="-15"/>
        </w:rPr>
        <w:t>未完成或因客观条件发生变化无法按原计划实施，需延迟到以后年度按有关规定继续使用的资金。</w:t>
      </w:r>
    </w:p>
    <w:p>
      <w:pPr>
        <w:pStyle w:val="3"/>
        <w:widowControl w:val="0"/>
        <w:wordWrap/>
        <w:autoSpaceDE w:val="0"/>
        <w:autoSpaceDN w:val="0"/>
        <w:adjustRightInd/>
        <w:snapToGrid/>
        <w:spacing w:before="0" w:after="0" w:line="600" w:lineRule="exact"/>
        <w:ind w:left="0" w:leftChars="0" w:right="0" w:firstLine="640"/>
        <w:jc w:val="both"/>
        <w:textAlignment w:val="auto"/>
        <w:outlineLvl w:val="9"/>
      </w:pPr>
      <w:r>
        <w:rPr>
          <w:rFonts w:hint="eastAsia" w:ascii="楷体" w:eastAsia="楷体"/>
          <w:spacing w:val="-6"/>
        </w:rPr>
        <w:t>十六、年末结余</w:t>
      </w:r>
      <w:r>
        <w:rPr>
          <w:spacing w:val="-10"/>
        </w:rPr>
        <w:t>：本年度或以前年度预算安排，已执行完毕</w:t>
      </w:r>
      <w:r>
        <w:rPr>
          <w:spacing w:val="-15"/>
        </w:rPr>
        <w:t>或因客观条件发生变化无法按原预算安排实施，不需要再使用或无法按原预算安排继续使用的资金。</w:t>
      </w:r>
    </w:p>
    <w:sectPr>
      <w:pgSz w:w="11910" w:h="16840"/>
      <w:pgMar w:top="1701" w:right="1134" w:bottom="1701" w:left="1134" w:header="720" w:footer="720" w:gutter="0"/>
      <w:paperSrc w:first="0" w:other="0"/>
      <w:cols w:space="720" w:num="1"/>
      <w:docGrid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仿宋">
    <w:altName w:val="仿宋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 New Roman CE">
    <w:altName w:val="Times New Roman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imes New Roman Cyr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imes New Roman Greek">
    <w:altName w:val="Times New Roman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Times New Roman Tur">
    <w:altName w:val="Times New Roman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Times New Roman (Hebrew)">
    <w:altName w:val="Times New Roman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Times New Roman (Arabic)">
    <w:altName w:val="Times New Roman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Times New Roman Baltic">
    <w:altName w:val="Times New Roman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Times New Roman (Vietnamese)">
    <w:altName w:val="Times New Roman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SimSun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libri CE">
    <w:altName w:val="Calibri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libri Cyr">
    <w:altName w:val="Calibri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alibri Greek">
    <w:altName w:val="Calibri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alibri Tur">
    <w:altName w:val="Calibri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alibri Baltic">
    <w:altName w:val="Calibri"/>
    <w:panose1 w:val="00000000000000000000"/>
    <w:charset w:val="BA"/>
    <w:family w:val="auto"/>
    <w:pitch w:val="default"/>
    <w:sig w:usb0="00000000" w:usb1="00000000" w:usb2="00000000" w:usb3="00000000" w:csb0="0000008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">
    <w:nsid w:val="00000001"/>
    <w:multiLevelType w:val="multilevel"/>
    <w:tmpl w:val="00000001"/>
    <w:lvl w:ilvl="0" w:tentative="1">
      <w:start w:val="1"/>
      <w:numFmt w:val="decimal"/>
      <w:lvlText w:val="%1."/>
      <w:lvlJc w:val="left"/>
      <w:pPr>
        <w:ind w:left="1112" w:hanging="360"/>
      </w:pPr>
      <w:rPr>
        <w:rFonts w:hint="default" w:ascii="Times New Roman" w:hAnsi="Times New Roman" w:eastAsia="Times New Roman" w:cs="Times New Roman"/>
        <w:spacing w:val="0"/>
        <w:w w:val="99"/>
        <w:sz w:val="32"/>
        <w:szCs w:val="32"/>
        <w:lang w:val="zh-CN" w:eastAsia="zh-CN" w:bidi="zh-CN"/>
      </w:rPr>
    </w:lvl>
    <w:lvl w:ilvl="1" w:tentative="1">
      <w:start w:val="0"/>
      <w:numFmt w:val="bullet"/>
      <w:lvlText w:val="•"/>
      <w:lvlJc w:val="left"/>
      <w:pPr>
        <w:ind w:left="1926" w:hanging="360"/>
      </w:pPr>
      <w:rPr>
        <w:rFonts w:hint="default"/>
        <w:lang w:val="zh-CN" w:eastAsia="zh-CN" w:bidi="zh-CN"/>
      </w:rPr>
    </w:lvl>
    <w:lvl w:ilvl="2" w:tentative="1">
      <w:start w:val="0"/>
      <w:numFmt w:val="bullet"/>
      <w:lvlText w:val="•"/>
      <w:lvlJc w:val="left"/>
      <w:pPr>
        <w:ind w:left="2733" w:hanging="360"/>
      </w:pPr>
      <w:rPr>
        <w:rFonts w:hint="default"/>
        <w:lang w:val="zh-CN" w:eastAsia="zh-CN" w:bidi="zh-CN"/>
      </w:rPr>
    </w:lvl>
    <w:lvl w:ilvl="3" w:tentative="1">
      <w:start w:val="0"/>
      <w:numFmt w:val="bullet"/>
      <w:lvlText w:val="•"/>
      <w:lvlJc w:val="left"/>
      <w:pPr>
        <w:ind w:left="3539" w:hanging="360"/>
      </w:pPr>
      <w:rPr>
        <w:rFonts w:hint="default"/>
        <w:lang w:val="zh-CN" w:eastAsia="zh-CN" w:bidi="zh-CN"/>
      </w:rPr>
    </w:lvl>
    <w:lvl w:ilvl="4" w:tentative="1">
      <w:start w:val="0"/>
      <w:numFmt w:val="bullet"/>
      <w:lvlText w:val="•"/>
      <w:lvlJc w:val="left"/>
      <w:pPr>
        <w:ind w:left="4346" w:hanging="360"/>
      </w:pPr>
      <w:rPr>
        <w:rFonts w:hint="default"/>
        <w:lang w:val="zh-CN" w:eastAsia="zh-CN" w:bidi="zh-CN"/>
      </w:rPr>
    </w:lvl>
    <w:lvl w:ilvl="5" w:tentative="1">
      <w:start w:val="0"/>
      <w:numFmt w:val="bullet"/>
      <w:lvlText w:val="•"/>
      <w:lvlJc w:val="left"/>
      <w:pPr>
        <w:ind w:left="5153" w:hanging="360"/>
      </w:pPr>
      <w:rPr>
        <w:rFonts w:hint="default"/>
        <w:lang w:val="zh-CN" w:eastAsia="zh-CN" w:bidi="zh-CN"/>
      </w:rPr>
    </w:lvl>
    <w:lvl w:ilvl="6" w:tentative="1">
      <w:start w:val="0"/>
      <w:numFmt w:val="bullet"/>
      <w:lvlText w:val="•"/>
      <w:lvlJc w:val="left"/>
      <w:pPr>
        <w:ind w:left="5959" w:hanging="360"/>
      </w:pPr>
      <w:rPr>
        <w:rFonts w:hint="default"/>
        <w:lang w:val="zh-CN" w:eastAsia="zh-CN" w:bidi="zh-CN"/>
      </w:rPr>
    </w:lvl>
    <w:lvl w:ilvl="7" w:tentative="1">
      <w:start w:val="0"/>
      <w:numFmt w:val="bullet"/>
      <w:lvlText w:val="•"/>
      <w:lvlJc w:val="left"/>
      <w:pPr>
        <w:ind w:left="6766" w:hanging="360"/>
      </w:pPr>
      <w:rPr>
        <w:rFonts w:hint="default"/>
        <w:lang w:val="zh-CN" w:eastAsia="zh-CN" w:bidi="zh-CN"/>
      </w:rPr>
    </w:lvl>
    <w:lvl w:ilvl="8" w:tentative="1">
      <w:start w:val="0"/>
      <w:numFmt w:val="bullet"/>
      <w:lvlText w:val="•"/>
      <w:lvlJc w:val="left"/>
      <w:pPr>
        <w:ind w:left="7572" w:hanging="360"/>
      </w:pPr>
      <w:rPr>
        <w:rFonts w:hint="default"/>
        <w:lang w:val="zh-CN" w:eastAsia="zh-CN" w:bidi="zh-CN"/>
      </w:rPr>
    </w:lvl>
  </w:abstractNum>
  <w:abstractNum w:abstractNumId="11">
    <w:nsid w:val="0000000B"/>
    <w:multiLevelType w:val="singleLevel"/>
    <w:tmpl w:val="0000000B"/>
    <w:lvl w:ilvl="0" w:tentative="1">
      <w:start w:val="8"/>
      <w:numFmt w:val="decimal"/>
      <w:suff w:val="nothing"/>
      <w:lvlText w:val="%1．"/>
      <w:lvlJc w:val="left"/>
    </w:lvl>
  </w:abstractNum>
  <w:abstractNum w:abstractNumId="12">
    <w:nsid w:val="0000000C"/>
    <w:multiLevelType w:val="multilevel"/>
    <w:tmpl w:val="0000000C"/>
    <w:lvl w:ilvl="0" w:tentative="1">
      <w:start w:val="143"/>
      <w:numFmt w:val="decimal"/>
      <w:lvlText w:val="%1"/>
      <w:lvlJc w:val="left"/>
      <w:pPr>
        <w:ind w:left="991" w:hanging="881"/>
      </w:pPr>
      <w:rPr>
        <w:rFonts w:hint="default"/>
        <w:lang w:val="zh-CN" w:eastAsia="zh-CN" w:bidi="zh-CN"/>
      </w:rPr>
    </w:lvl>
    <w:lvl w:ilvl="1" w:tentative="1">
      <w:start w:val="41"/>
      <w:numFmt w:val="decimal"/>
      <w:lvlText w:val="%1.%2"/>
      <w:lvlJc w:val="left"/>
      <w:pPr>
        <w:ind w:left="991" w:hanging="881"/>
      </w:pPr>
      <w:rPr>
        <w:rFonts w:hint="default" w:ascii="Times New Roman" w:hAnsi="Times New Roman" w:eastAsia="Times New Roman" w:cs="Times New Roman"/>
        <w:spacing w:val="-2"/>
        <w:w w:val="99"/>
        <w:sz w:val="30"/>
        <w:szCs w:val="30"/>
        <w:lang w:val="zh-CN" w:eastAsia="zh-CN" w:bidi="zh-CN"/>
      </w:rPr>
    </w:lvl>
    <w:lvl w:ilvl="2" w:tentative="1">
      <w:start w:val="1"/>
      <w:numFmt w:val="decimal"/>
      <w:lvlText w:val="%3."/>
      <w:lvlJc w:val="left"/>
      <w:pPr>
        <w:ind w:left="111" w:hanging="483"/>
      </w:pPr>
      <w:rPr>
        <w:rFonts w:hint="default" w:ascii="Times New Roman" w:hAnsi="Times New Roman" w:eastAsia="Times New Roman" w:cs="Times New Roman"/>
        <w:spacing w:val="1"/>
        <w:w w:val="99"/>
        <w:sz w:val="30"/>
        <w:szCs w:val="30"/>
        <w:lang w:val="zh-CN" w:eastAsia="zh-CN" w:bidi="zh-CN"/>
      </w:rPr>
    </w:lvl>
    <w:lvl w:ilvl="3" w:tentative="1">
      <w:start w:val="0"/>
      <w:numFmt w:val="bullet"/>
      <w:lvlText w:val="•"/>
      <w:lvlJc w:val="left"/>
      <w:pPr>
        <w:ind w:left="2859" w:hanging="483"/>
      </w:pPr>
      <w:rPr>
        <w:rFonts w:hint="default"/>
        <w:lang w:val="zh-CN" w:eastAsia="zh-CN" w:bidi="zh-CN"/>
      </w:rPr>
    </w:lvl>
    <w:lvl w:ilvl="4" w:tentative="1">
      <w:start w:val="0"/>
      <w:numFmt w:val="bullet"/>
      <w:lvlText w:val="•"/>
      <w:lvlJc w:val="left"/>
      <w:pPr>
        <w:ind w:left="3788" w:hanging="483"/>
      </w:pPr>
      <w:rPr>
        <w:rFonts w:hint="default"/>
        <w:lang w:val="zh-CN" w:eastAsia="zh-CN" w:bidi="zh-CN"/>
      </w:rPr>
    </w:lvl>
    <w:lvl w:ilvl="5" w:tentative="1">
      <w:start w:val="0"/>
      <w:numFmt w:val="bullet"/>
      <w:lvlText w:val="•"/>
      <w:lvlJc w:val="left"/>
      <w:pPr>
        <w:ind w:left="4718" w:hanging="483"/>
      </w:pPr>
      <w:rPr>
        <w:rFonts w:hint="default"/>
        <w:lang w:val="zh-CN" w:eastAsia="zh-CN" w:bidi="zh-CN"/>
      </w:rPr>
    </w:lvl>
    <w:lvl w:ilvl="6" w:tentative="1">
      <w:start w:val="0"/>
      <w:numFmt w:val="bullet"/>
      <w:lvlText w:val="•"/>
      <w:lvlJc w:val="left"/>
      <w:pPr>
        <w:ind w:left="5647" w:hanging="483"/>
      </w:pPr>
      <w:rPr>
        <w:rFonts w:hint="default"/>
        <w:lang w:val="zh-CN" w:eastAsia="zh-CN" w:bidi="zh-CN"/>
      </w:rPr>
    </w:lvl>
    <w:lvl w:ilvl="7" w:tentative="1">
      <w:start w:val="0"/>
      <w:numFmt w:val="bullet"/>
      <w:lvlText w:val="•"/>
      <w:lvlJc w:val="left"/>
      <w:pPr>
        <w:ind w:left="6577" w:hanging="483"/>
      </w:pPr>
      <w:rPr>
        <w:rFonts w:hint="default"/>
        <w:lang w:val="zh-CN" w:eastAsia="zh-CN" w:bidi="zh-CN"/>
      </w:rPr>
    </w:lvl>
    <w:lvl w:ilvl="8" w:tentative="1">
      <w:start w:val="0"/>
      <w:numFmt w:val="bullet"/>
      <w:lvlText w:val="•"/>
      <w:lvlJc w:val="left"/>
      <w:pPr>
        <w:ind w:left="7506" w:hanging="483"/>
      </w:pPr>
      <w:rPr>
        <w:rFonts w:hint="default"/>
        <w:lang w:val="zh-CN" w:eastAsia="zh-CN" w:bidi="zh-CN"/>
      </w:rPr>
    </w:lvl>
  </w:abstractNum>
  <w:abstractNum w:abstractNumId="13">
    <w:nsid w:val="0000000D"/>
    <w:multiLevelType w:val="multilevel"/>
    <w:tmpl w:val="0000000D"/>
    <w:lvl w:ilvl="0" w:tentative="1">
      <w:start w:val="1"/>
      <w:numFmt w:val="japaneseCounting"/>
      <w:lvlText w:val="%1、"/>
      <w:lvlJc w:val="left"/>
      <w:pPr>
        <w:ind w:left="531" w:hanging="4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951" w:hanging="420"/>
      </w:pPr>
    </w:lvl>
    <w:lvl w:ilvl="2" w:tentative="1">
      <w:start w:val="1"/>
      <w:numFmt w:val="lowerRoman"/>
      <w:lvlText w:val="%3."/>
      <w:lvlJc w:val="right"/>
      <w:pPr>
        <w:ind w:left="1371" w:hanging="420"/>
      </w:pPr>
    </w:lvl>
    <w:lvl w:ilvl="3" w:tentative="1">
      <w:start w:val="1"/>
      <w:numFmt w:val="decimal"/>
      <w:lvlText w:val="%4."/>
      <w:lvlJc w:val="left"/>
      <w:pPr>
        <w:ind w:left="1791" w:hanging="420"/>
      </w:pPr>
    </w:lvl>
    <w:lvl w:ilvl="4" w:tentative="1">
      <w:start w:val="1"/>
      <w:numFmt w:val="lowerLetter"/>
      <w:lvlText w:val="%5)"/>
      <w:lvlJc w:val="left"/>
      <w:pPr>
        <w:ind w:left="2211" w:hanging="420"/>
      </w:pPr>
    </w:lvl>
    <w:lvl w:ilvl="5" w:tentative="1">
      <w:start w:val="1"/>
      <w:numFmt w:val="lowerRoman"/>
      <w:lvlText w:val="%6."/>
      <w:lvlJc w:val="right"/>
      <w:pPr>
        <w:ind w:left="2631" w:hanging="420"/>
      </w:pPr>
    </w:lvl>
    <w:lvl w:ilvl="6" w:tentative="1">
      <w:start w:val="1"/>
      <w:numFmt w:val="decimal"/>
      <w:lvlText w:val="%7."/>
      <w:lvlJc w:val="left"/>
      <w:pPr>
        <w:ind w:left="3051" w:hanging="420"/>
      </w:pPr>
    </w:lvl>
    <w:lvl w:ilvl="7" w:tentative="1">
      <w:start w:val="1"/>
      <w:numFmt w:val="lowerLetter"/>
      <w:lvlText w:val="%8)"/>
      <w:lvlJc w:val="left"/>
      <w:pPr>
        <w:ind w:left="3471" w:hanging="420"/>
      </w:pPr>
    </w:lvl>
    <w:lvl w:ilvl="8" w:tentative="1">
      <w:start w:val="1"/>
      <w:numFmt w:val="lowerRoman"/>
      <w:lvlText w:val="%9."/>
      <w:lvlJc w:val="right"/>
      <w:pPr>
        <w:ind w:left="3891" w:hanging="420"/>
      </w:pPr>
    </w:lvl>
  </w:abstractNum>
  <w:abstractNum w:abstractNumId="14">
    <w:nsid w:val="0000000E"/>
    <w:multiLevelType w:val="singleLevel"/>
    <w:tmpl w:val="0000000E"/>
    <w:lvl w:ilvl="0" w:tentative="1">
      <w:start w:val="9"/>
      <w:numFmt w:val="decimal"/>
      <w:suff w:val="space"/>
      <w:lvlText w:val="%1."/>
      <w:lvlJc w:val="left"/>
    </w:lvl>
  </w:abstractNum>
  <w:abstractNum w:abstractNumId="15">
    <w:nsid w:val="0000000F"/>
    <w:multiLevelType w:val="singleLevel"/>
    <w:tmpl w:val="0000000F"/>
    <w:lvl w:ilvl="0" w:tentative="1">
      <w:start w:val="10"/>
      <w:numFmt w:val="decimal"/>
      <w:suff w:val="space"/>
      <w:lvlText w:val="%1."/>
      <w:lvlJc w:val="left"/>
    </w:lvl>
  </w:abstractNum>
  <w:num w:numId="1">
    <w:abstractNumId w:val="1"/>
  </w:num>
  <w:num w:numId="2">
    <w:abstractNumId w:val="13"/>
  </w:num>
  <w:num w:numId="3">
    <w:abstractNumId w:val="12"/>
  </w:num>
  <w:num w:numId="4">
    <w:abstractNumId w:val="11"/>
  </w:num>
  <w:num w:numId="5">
    <w:abstractNumId w:val="14"/>
  </w:num>
  <w:num w:numId="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efaultTabStop w:val="720"/>
  <w:drawingGridHorizontalSpacing w:val="110"/>
  <w:displayHorizontalDrawingGridEvery w:val="2"/>
  <w:displayVerticalDrawingGridEvery w:val="1"/>
  <w:characterSpacingControl w:val="doNotCompress"/>
  <w:compat>
    <w:spaceForUL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style w:type="paragraph" w:default="1" w:styleId="1">
    <w:name w:val="Normal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pPr>
      <w:spacing w:before="34"/>
      <w:jc w:val="center"/>
      <w:outlineLvl w:val="0"/>
    </w:pPr>
    <w:rPr>
      <w:rFonts w:ascii="宋体" w:hAnsi="宋体" w:eastAsia="宋体" w:cs="宋体"/>
      <w:sz w:val="44"/>
      <w:szCs w:val="44"/>
    </w:rPr>
  </w:style>
  <w:style w:type="character" w:default="1" w:styleId="6">
    <w:name w:val="Default Paragraph Font"/>
  </w:style>
  <w:style w:type="paragraph" w:styleId="3">
    <w:name w:val="Body Text"/>
    <w:basedOn w:val="1"/>
    <w:rPr>
      <w:rFonts w:ascii="仿宋" w:hAnsi="仿宋" w:eastAsia="仿宋" w:cs="仿宋"/>
      <w:sz w:val="32"/>
      <w:szCs w:val="32"/>
    </w:rPr>
  </w:style>
  <w:style w:type="paragraph" w:styleId="4">
    <w:name w:val="footer"/>
    <w:basedOn w:val="1"/>
    <w:link w:val="5"/>
    <w:pPr>
      <w:tabs>
        <w:tab w:val="center" w:pos="4153"/>
        <w:tab w:val="right" w:pos="8306"/>
      </w:tabs>
      <w:snapToGrid w:val="0"/>
    </w:pPr>
    <w:rPr>
      <w:rFonts w:ascii="Times New Roman" w:hAnsi="Times New Roman" w:eastAsia="Times New Roman"/>
      <w:sz w:val="18"/>
      <w:szCs w:val="18"/>
      <w:lang w:val="zh-CN" w:bidi="zh-CN"/>
    </w:rPr>
  </w:style>
  <w:style w:type="character" w:customStyle="1" w:styleId="5">
    <w:name w:val="页脚 Char"/>
    <w:basedOn w:val="6"/>
    <w:link w:val="4"/>
    <w:semiHidden/>
    <w:rPr>
      <w:rFonts w:ascii="Times New Roman" w:hAnsi="Times New Roman" w:eastAsia="Times New Roman"/>
      <w:sz w:val="18"/>
      <w:szCs w:val="18"/>
      <w:lang w:val="zh-CN" w:bidi="zh-CN"/>
    </w:rPr>
  </w:style>
  <w:style w:type="paragraph" w:styleId="7">
    <w:name w:val="header"/>
    <w:basedOn w:val="1"/>
    <w:link w:val="8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Times New Roman"/>
      <w:sz w:val="18"/>
      <w:szCs w:val="18"/>
      <w:lang w:val="zh-CN" w:bidi="zh-CN"/>
    </w:rPr>
  </w:style>
  <w:style w:type="character" w:customStyle="1" w:styleId="8">
    <w:name w:val="页眉 Char"/>
    <w:basedOn w:val="6"/>
    <w:link w:val="7"/>
    <w:semiHidden/>
    <w:rPr>
      <w:rFonts w:ascii="Times New Roman" w:hAnsi="Times New Roman" w:eastAsia="Times New Roman"/>
      <w:sz w:val="18"/>
      <w:szCs w:val="18"/>
      <w:lang w:val="zh-CN" w:bidi="zh-CN"/>
    </w:rPr>
  </w:style>
  <w:style w:type="paragraph" w:customStyle="1" w:styleId="9">
    <w:name w:val="List Paragraph"/>
    <w:basedOn w:val="1"/>
    <w:pPr>
      <w:ind w:left="111" w:firstLine="640"/>
    </w:pPr>
    <w:rPr>
      <w:rFonts w:ascii="仿宋" w:hAnsi="仿宋" w:eastAsia="仿宋" w:cs="仿宋"/>
    </w:rPr>
  </w:style>
  <w:style w:type="paragraph" w:customStyle="1" w:styleId="10">
    <w:name w:val="Table Paragraph"/>
    <w:basedOn w:val="1"/>
    <w:pPr>
      <w:spacing w:before="52"/>
      <w:jc w:val="right"/>
    </w:pPr>
  </w:style>
  <w:style w:type="paragraph" w:customStyle="1" w:styleId="11">
    <w:name w:val="p0"/>
    <w:basedOn w:val="1"/>
    <w:pPr>
      <w:widowControl/>
      <w:jc w:val="both"/>
    </w:pPr>
    <w:rPr>
      <w:rFonts w:ascii="Calibri" w:hAnsi="Calibri" w:eastAsia="宋体" w:cs="宋体"/>
      <w:sz w:val="21"/>
      <w:szCs w:val="21"/>
      <w:lang w:val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customXml" Target="../customXml/item1.xml"/><Relationship Id="rId14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28</Pages>
  <Words>1005</Words>
  <Characters>5730</Characters>
  <Lines>47</Lines>
  <Paragraphs>13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2021-11-05T01:53:00Z</dcterms:created>
  <dc:creator>微软用户</dc:creator>
  <dcterms:modified xsi:type="dcterms:W3CDTF">2021-11-05T15:24:40Z</dcterms:modified>
  <dc:title>2018年度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2021-09-22T16:00:00Z</vt:filetime>
  </property>
  <property fmtid="{D5CDD505-2E9C-101B-9397-08002B2CF9AE}" pid="3" name="Creator">
    <vt:lpwstr>WPS 文字</vt:lpwstr>
  </property>
  <property fmtid="{D5CDD505-2E9C-101B-9397-08002B2CF9AE}" pid="4" name="LastSaved">
    <vt:filetime>2021-10-27T16:00:00Z</vt:filetime>
  </property>
  <property fmtid="{D5CDD505-2E9C-101B-9397-08002B2CF9AE}" pid="5" name="KSOProductBuildVer">
    <vt:lpwstr>2052-9.1.0.4167</vt:lpwstr>
  </property>
  <property fmtid="{D5CDD505-2E9C-101B-9397-08002B2CF9AE}" pid="6" name="ICV">
    <vt:lpwstr>24E5531DC9DD4CDDA05352F030245FA5</vt:lpwstr>
  </property>
</Properties>
</file>