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rPr>
      </w:pPr>
    </w:p>
    <w:p>
      <w:pPr>
        <w:rPr>
          <w:sz w:val="20"/>
        </w:rPr>
      </w:pPr>
    </w:p>
    <w:p>
      <w:pPr>
        <w:rPr>
          <w:sz w:val="20"/>
        </w:rPr>
      </w:pPr>
    </w:p>
    <w:p>
      <w:pPr>
        <w:rPr>
          <w:sz w:val="20"/>
        </w:rPr>
      </w:pPr>
    </w:p>
    <w:p>
      <w:pPr>
        <w:rPr>
          <w:sz w:val="20"/>
        </w:rPr>
      </w:pPr>
    </w:p>
    <w:p>
      <w:pPr>
        <w:rPr>
          <w:sz w:val="20"/>
        </w:rPr>
      </w:pPr>
    </w:p>
    <w:p>
      <w:pPr>
        <w:rPr>
          <w:b/>
          <w:sz w:val="20"/>
        </w:rPr>
      </w:pPr>
    </w:p>
    <w:p>
      <w:pPr>
        <w:spacing w:before="182"/>
        <w:ind w:right="117"/>
        <w:jc w:val="center"/>
        <w:rPr>
          <w:rFonts w:hint="eastAsia" w:ascii="宋体" w:eastAsia="宋体"/>
          <w:b/>
          <w:color w:val="auto"/>
          <w:sz w:val="52"/>
          <w:lang w:eastAsia="zh-CN"/>
        </w:rPr>
      </w:pPr>
      <w:r>
        <w:rPr>
          <w:b/>
          <w:sz w:val="52"/>
        </w:rPr>
        <w:t xml:space="preserve">2020 </w:t>
      </w:r>
      <w:r>
        <w:rPr>
          <w:rFonts w:hint="eastAsia" w:ascii="宋体" w:eastAsia="宋体"/>
          <w:b/>
          <w:sz w:val="52"/>
        </w:rPr>
        <w:t>年度</w:t>
      </w:r>
      <w:r>
        <w:rPr>
          <w:rFonts w:hint="eastAsia" w:ascii="宋体" w:eastAsia="宋体"/>
          <w:b/>
          <w:color w:val="auto"/>
          <w:sz w:val="52"/>
        </w:rPr>
        <w:t>洛阳市</w:t>
      </w:r>
      <w:r>
        <w:rPr>
          <w:rFonts w:hint="eastAsia" w:ascii="宋体" w:eastAsia="宋体"/>
          <w:b/>
          <w:color w:val="auto"/>
          <w:sz w:val="52"/>
          <w:lang w:eastAsia="zh-CN"/>
        </w:rPr>
        <w:t>西工区邙岭路</w:t>
      </w:r>
    </w:p>
    <w:p>
      <w:pPr>
        <w:spacing w:before="299"/>
        <w:ind w:right="117"/>
        <w:jc w:val="center"/>
        <w:rPr>
          <w:rFonts w:hint="eastAsia" w:ascii="宋体" w:eastAsia="宋体"/>
          <w:b/>
          <w:color w:val="auto"/>
          <w:sz w:val="52"/>
        </w:rPr>
      </w:pPr>
      <w:r>
        <w:rPr>
          <w:rFonts w:hint="eastAsia" w:ascii="宋体" w:eastAsia="宋体"/>
          <w:b/>
          <w:color w:val="auto"/>
          <w:sz w:val="52"/>
          <w:lang w:eastAsia="zh-CN"/>
        </w:rPr>
        <w:t>街道办事处</w:t>
      </w:r>
      <w:r>
        <w:rPr>
          <w:rFonts w:hint="eastAsia" w:ascii="宋体" w:eastAsia="宋体"/>
          <w:b/>
          <w:color w:val="auto"/>
          <w:sz w:val="52"/>
        </w:rPr>
        <w:t>部门决算</w:t>
      </w: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rPr>
          <w:rFonts w:ascii="宋体"/>
          <w:sz w:val="52"/>
        </w:rPr>
      </w:pPr>
    </w:p>
    <w:p>
      <w:pPr>
        <w:pStyle w:val="3"/>
        <w:spacing w:before="7"/>
        <w:rPr>
          <w:rFonts w:ascii="宋体"/>
          <w:sz w:val="54"/>
        </w:rPr>
      </w:pPr>
    </w:p>
    <w:p>
      <w:pPr>
        <w:pStyle w:val="3"/>
        <w:ind w:right="117"/>
        <w:jc w:val="center"/>
        <w:rPr>
          <w:rFonts w:hint="eastAsia" w:ascii="黑体" w:eastAsia="黑体"/>
          <w:b/>
        </w:rPr>
      </w:pPr>
      <w:r>
        <w:rPr>
          <w:rFonts w:hint="eastAsia" w:ascii="黑体" w:eastAsia="黑体"/>
          <w:b/>
        </w:rPr>
        <w:t>二〇二一年十</w:t>
      </w:r>
      <w:r>
        <w:rPr>
          <w:rFonts w:hint="eastAsia" w:ascii="黑体" w:eastAsia="黑体"/>
          <w:b/>
          <w:lang w:eastAsia="zh-CN"/>
        </w:rPr>
        <w:t>一</w:t>
      </w:r>
      <w:r>
        <w:rPr>
          <w:rFonts w:hint="eastAsia" w:ascii="黑体" w:eastAsia="黑体"/>
          <w:b/>
        </w:rPr>
        <w:t>月</w:t>
      </w:r>
    </w:p>
    <w:p>
      <w:pPr>
        <w:jc w:val="center"/>
        <w:rPr>
          <w:rFonts w:hint="eastAsia" w:ascii="黑体" w:eastAsia="黑体"/>
          <w:b/>
        </w:rPr>
        <w:sectPr>
          <w:type w:val="continuous"/>
          <w:pgSz w:w="11910" w:h="16840"/>
          <w:pgMar w:top="1580" w:right="1300" w:bottom="280" w:left="1420" w:header="720" w:footer="720" w:gutter="0"/>
          <w:cols w:space="720" w:num="1"/>
        </w:sectPr>
      </w:pPr>
    </w:p>
    <w:p>
      <w:pPr>
        <w:pStyle w:val="3"/>
        <w:rPr>
          <w:rFonts w:ascii="黑体"/>
          <w:sz w:val="20"/>
        </w:rPr>
      </w:pPr>
    </w:p>
    <w:p>
      <w:pPr>
        <w:pStyle w:val="3"/>
        <w:rPr>
          <w:rFonts w:ascii="黑体"/>
          <w:sz w:val="21"/>
        </w:rPr>
      </w:pPr>
    </w:p>
    <w:p>
      <w:pPr>
        <w:pStyle w:val="2"/>
        <w:tabs>
          <w:tab w:val="left" w:pos="880"/>
        </w:tabs>
        <w:ind w:right="120"/>
        <w:rPr>
          <w:b/>
        </w:rPr>
      </w:pPr>
      <w:r>
        <w:rPr>
          <w:b/>
        </w:rPr>
        <w:t>目</w:t>
      </w:r>
      <w:r>
        <w:rPr>
          <w:b/>
        </w:rPr>
        <w:tab/>
      </w:r>
      <w:r>
        <w:rPr>
          <w:b/>
        </w:rPr>
        <w:t>录</w:t>
      </w:r>
    </w:p>
    <w:p>
      <w:pPr>
        <w:pStyle w:val="3"/>
        <w:rPr>
          <w:rFonts w:ascii="宋体"/>
          <w:sz w:val="44"/>
        </w:rPr>
      </w:pPr>
    </w:p>
    <w:p>
      <w:pPr>
        <w:pStyle w:val="3"/>
        <w:spacing w:before="5"/>
        <w:rPr>
          <w:rFonts w:ascii="宋体"/>
          <w:sz w:val="33"/>
        </w:rPr>
      </w:pPr>
    </w:p>
    <w:p>
      <w:pPr>
        <w:pStyle w:val="3"/>
        <w:tabs>
          <w:tab w:val="left" w:pos="1711"/>
        </w:tabs>
        <w:ind w:left="111"/>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color w:val="auto"/>
        </w:rPr>
        <w:t>洛阳市</w:t>
      </w:r>
      <w:r>
        <w:rPr>
          <w:rFonts w:hint="eastAsia" w:ascii="黑体" w:eastAsia="黑体"/>
          <w:color w:val="auto"/>
          <w:lang w:eastAsia="zh-CN"/>
        </w:rPr>
        <w:t>西工区邙岭路街道办事处</w:t>
      </w:r>
      <w:r>
        <w:rPr>
          <w:rFonts w:hint="eastAsia" w:ascii="黑体" w:eastAsia="黑体"/>
        </w:rPr>
        <w:t>概况</w:t>
      </w:r>
    </w:p>
    <w:p>
      <w:pPr>
        <w:pStyle w:val="3"/>
        <w:spacing w:before="233" w:line="376" w:lineRule="auto"/>
        <w:ind w:left="111" w:right="7153"/>
        <w:rPr>
          <w:rFonts w:hint="eastAsia" w:ascii="楷体" w:eastAsia="楷体"/>
        </w:rPr>
      </w:pPr>
      <w:r>
        <w:rPr>
          <w:rFonts w:hint="eastAsia" w:ascii="楷体" w:eastAsia="楷体"/>
        </w:rPr>
        <w:t>一、部门职责二、机构设置</w:t>
      </w:r>
    </w:p>
    <w:p>
      <w:pPr>
        <w:pStyle w:val="3"/>
        <w:tabs>
          <w:tab w:val="left" w:pos="1711"/>
        </w:tabs>
        <w:spacing w:before="2"/>
        <w:ind w:left="111"/>
        <w:rPr>
          <w:rFonts w:hint="eastAsia" w:ascii="黑体" w:eastAsia="黑体"/>
        </w:rPr>
      </w:pPr>
      <w:r>
        <w:rPr>
          <w:rFonts w:hint="eastAsia" w:ascii="黑体" w:eastAsia="黑体"/>
        </w:rPr>
        <w:t>第二部分</w:t>
      </w:r>
      <w:r>
        <w:rPr>
          <w:rFonts w:hint="eastAsia" w:ascii="黑体" w:eastAsia="黑体"/>
        </w:rPr>
        <w:tab/>
      </w:r>
      <w:r>
        <w:rPr>
          <w:rFonts w:ascii="Times New Roman" w:eastAsia="Times New Roman"/>
        </w:rPr>
        <w:t>2020</w:t>
      </w:r>
      <w:r>
        <w:rPr>
          <w:rFonts w:ascii="Times New Roman" w:eastAsia="Times New Roman"/>
          <w:spacing w:val="-1"/>
        </w:rPr>
        <w:t xml:space="preserve"> </w:t>
      </w:r>
      <w:r>
        <w:rPr>
          <w:rFonts w:hint="eastAsia" w:ascii="黑体" w:eastAsia="黑体"/>
        </w:rPr>
        <w:t>年度部门决算表</w:t>
      </w:r>
    </w:p>
    <w:p>
      <w:pPr>
        <w:pStyle w:val="3"/>
        <w:spacing w:before="233" w:line="376" w:lineRule="auto"/>
        <w:ind w:left="111" w:right="5873"/>
        <w:rPr>
          <w:rFonts w:hint="eastAsia" w:ascii="楷体" w:eastAsia="楷体"/>
        </w:rPr>
      </w:pPr>
      <w:r>
        <w:rPr>
          <w:rFonts w:hint="eastAsia" w:ascii="楷体" w:eastAsia="楷体"/>
          <w:spacing w:val="-2"/>
        </w:rPr>
        <w:t>一、收入支出决算总表</w:t>
      </w:r>
      <w:r>
        <w:rPr>
          <w:rFonts w:hint="eastAsia" w:ascii="楷体" w:eastAsia="楷体"/>
        </w:rPr>
        <w:t>二、收入决算表</w:t>
      </w:r>
    </w:p>
    <w:p>
      <w:pPr>
        <w:pStyle w:val="3"/>
        <w:spacing w:before="1"/>
        <w:ind w:left="111"/>
        <w:rPr>
          <w:rFonts w:hint="eastAsia" w:ascii="楷体" w:eastAsia="楷体"/>
        </w:rPr>
      </w:pPr>
      <w:r>
        <w:rPr>
          <w:rFonts w:hint="eastAsia" w:ascii="楷体" w:eastAsia="楷体"/>
          <w:w w:val="95"/>
        </w:rPr>
        <w:t>三、支出决算表</w:t>
      </w:r>
    </w:p>
    <w:p>
      <w:pPr>
        <w:pStyle w:val="3"/>
        <w:spacing w:before="233"/>
        <w:ind w:left="111"/>
        <w:rPr>
          <w:rFonts w:hint="eastAsia" w:ascii="楷体" w:eastAsia="楷体"/>
        </w:rPr>
      </w:pPr>
      <w:r>
        <w:rPr>
          <w:rFonts w:hint="eastAsia" w:ascii="楷体" w:eastAsia="楷体"/>
        </w:rPr>
        <w:t>四、财政拨款收入支出决算总表</w:t>
      </w:r>
    </w:p>
    <w:p>
      <w:pPr>
        <w:pStyle w:val="3"/>
        <w:spacing w:before="234"/>
        <w:ind w:left="111"/>
        <w:rPr>
          <w:rFonts w:hint="eastAsia" w:ascii="楷体" w:eastAsia="楷体"/>
        </w:rPr>
      </w:pPr>
      <w:r>
        <w:rPr>
          <w:rFonts w:hint="eastAsia" w:ascii="楷体" w:eastAsia="楷体"/>
        </w:rPr>
        <w:t>五、一般公共预算财政拨款支出决算表</w:t>
      </w:r>
    </w:p>
    <w:p>
      <w:pPr>
        <w:pStyle w:val="3"/>
        <w:spacing w:before="235"/>
        <w:ind w:left="111"/>
        <w:rPr>
          <w:rFonts w:hint="eastAsia" w:ascii="楷体" w:eastAsia="楷体"/>
        </w:rPr>
      </w:pPr>
      <w:r>
        <w:rPr>
          <w:rFonts w:hint="eastAsia" w:ascii="楷体" w:eastAsia="楷体"/>
        </w:rPr>
        <w:t>六、一般公共预算财政拨款基本支出决算表</w:t>
      </w:r>
    </w:p>
    <w:p>
      <w:pPr>
        <w:pStyle w:val="3"/>
        <w:spacing w:before="233" w:line="376" w:lineRule="auto"/>
        <w:ind w:left="111" w:right="2069"/>
        <w:rPr>
          <w:rFonts w:hint="eastAsia" w:ascii="楷体" w:hAnsi="楷体" w:eastAsia="楷体"/>
        </w:rPr>
      </w:pPr>
      <w:r>
        <w:rPr>
          <w:rFonts w:hint="eastAsia" w:ascii="楷体" w:hAnsi="楷体" w:eastAsia="楷体"/>
        </w:rPr>
        <w:t>七、一般公共预算财政拨款</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经费支出决算表八、政府性基金预算财政拨款收入支出决算表</w:t>
      </w:r>
    </w:p>
    <w:p>
      <w:pPr>
        <w:pStyle w:val="3"/>
        <w:tabs>
          <w:tab w:val="left" w:pos="1711"/>
        </w:tabs>
        <w:spacing w:before="2"/>
        <w:ind w:left="111"/>
        <w:rPr>
          <w:rFonts w:hint="eastAsia" w:ascii="黑体" w:eastAsia="黑体"/>
        </w:rPr>
      </w:pPr>
      <w:r>
        <w:rPr>
          <w:rFonts w:hint="eastAsia" w:ascii="黑体" w:eastAsia="黑体"/>
        </w:rPr>
        <w:t>第三部分</w:t>
      </w:r>
      <w:r>
        <w:rPr>
          <w:rFonts w:hint="eastAsia" w:ascii="黑体" w:eastAsia="黑体"/>
        </w:rPr>
        <w:tab/>
      </w:r>
      <w:r>
        <w:rPr>
          <w:rFonts w:ascii="Times New Roman" w:eastAsia="Times New Roman"/>
        </w:rPr>
        <w:t>2020</w:t>
      </w:r>
      <w:r>
        <w:rPr>
          <w:rFonts w:ascii="Times New Roman" w:eastAsia="Times New Roman"/>
          <w:spacing w:val="-1"/>
        </w:rPr>
        <w:t xml:space="preserve"> </w:t>
      </w:r>
      <w:r>
        <w:rPr>
          <w:rFonts w:hint="eastAsia" w:ascii="黑体" w:eastAsia="黑体"/>
        </w:rPr>
        <w:t>年度部门决算情况说明</w:t>
      </w:r>
    </w:p>
    <w:p>
      <w:pPr>
        <w:pStyle w:val="3"/>
        <w:spacing w:before="233" w:line="376" w:lineRule="auto"/>
        <w:ind w:left="111" w:right="4594"/>
        <w:rPr>
          <w:rFonts w:hint="eastAsia" w:ascii="楷体" w:eastAsia="楷体"/>
        </w:rPr>
      </w:pPr>
      <w:r>
        <w:rPr>
          <w:rFonts w:hint="eastAsia" w:ascii="楷体" w:eastAsia="楷体"/>
          <w:spacing w:val="-1"/>
        </w:rPr>
        <w:t>一、收入支出决算总体情况说明</w:t>
      </w:r>
      <w:r>
        <w:rPr>
          <w:rFonts w:hint="eastAsia" w:ascii="楷体" w:eastAsia="楷体"/>
        </w:rPr>
        <w:t>二、收入决算情况说明</w:t>
      </w:r>
    </w:p>
    <w:p>
      <w:pPr>
        <w:pStyle w:val="3"/>
        <w:spacing w:before="1"/>
        <w:ind w:left="111"/>
        <w:rPr>
          <w:rFonts w:hint="eastAsia" w:ascii="楷体" w:eastAsia="楷体"/>
        </w:rPr>
      </w:pPr>
      <w:r>
        <w:rPr>
          <w:rFonts w:hint="eastAsia" w:ascii="楷体" w:eastAsia="楷体"/>
          <w:w w:val="95"/>
        </w:rPr>
        <w:t>三、支出决算情况说明</w:t>
      </w:r>
    </w:p>
    <w:p>
      <w:pPr>
        <w:pStyle w:val="3"/>
        <w:spacing w:before="234"/>
        <w:ind w:left="111"/>
        <w:rPr>
          <w:rFonts w:hint="eastAsia" w:ascii="楷体" w:eastAsia="楷体"/>
        </w:rPr>
      </w:pPr>
      <w:r>
        <w:rPr>
          <w:rFonts w:hint="eastAsia" w:ascii="楷体" w:eastAsia="楷体"/>
        </w:rPr>
        <w:t>四、财政拨款收入支出决算总体情况说明</w:t>
      </w:r>
    </w:p>
    <w:p>
      <w:pPr>
        <w:rPr>
          <w:rFonts w:hint="eastAsia" w:ascii="楷体" w:eastAsia="楷体"/>
        </w:rPr>
        <w:sectPr>
          <w:pgSz w:w="11910" w:h="16840"/>
          <w:pgMar w:top="1580" w:right="1300" w:bottom="280" w:left="1420" w:header="720" w:footer="720" w:gutter="0"/>
          <w:cols w:space="720" w:num="1"/>
        </w:sectPr>
      </w:pPr>
    </w:p>
    <w:p>
      <w:pPr>
        <w:pStyle w:val="3"/>
        <w:rPr>
          <w:rFonts w:ascii="楷体"/>
          <w:sz w:val="20"/>
        </w:rPr>
      </w:pPr>
    </w:p>
    <w:p>
      <w:pPr>
        <w:pStyle w:val="3"/>
        <w:spacing w:before="2"/>
        <w:rPr>
          <w:rFonts w:ascii="楷体"/>
          <w:sz w:val="15"/>
        </w:rPr>
      </w:pPr>
    </w:p>
    <w:p>
      <w:pPr>
        <w:pStyle w:val="3"/>
        <w:spacing w:before="54"/>
        <w:ind w:left="111"/>
        <w:rPr>
          <w:rFonts w:hint="eastAsia" w:ascii="楷体" w:eastAsia="楷体"/>
        </w:rPr>
      </w:pPr>
      <w:r>
        <w:rPr>
          <w:rFonts w:hint="eastAsia" w:ascii="楷体" w:eastAsia="楷体"/>
        </w:rPr>
        <w:t>五、一般公共预算财政拨款支出决算情况说明</w:t>
      </w:r>
    </w:p>
    <w:p>
      <w:pPr>
        <w:pStyle w:val="3"/>
        <w:spacing w:before="233"/>
        <w:ind w:left="111"/>
        <w:rPr>
          <w:rFonts w:hint="eastAsia" w:ascii="楷体" w:eastAsia="楷体"/>
        </w:rPr>
      </w:pPr>
      <w:r>
        <w:rPr>
          <w:rFonts w:hint="eastAsia" w:ascii="楷体" w:eastAsia="楷体"/>
        </w:rPr>
        <w:t>六、一般公共预算财政拨款基本支出决算情况说明</w:t>
      </w:r>
    </w:p>
    <w:p>
      <w:pPr>
        <w:pStyle w:val="3"/>
        <w:spacing w:before="233" w:line="376" w:lineRule="auto"/>
        <w:ind w:left="111" w:right="1109"/>
        <w:rPr>
          <w:rFonts w:hint="eastAsia" w:ascii="楷体" w:hAnsi="楷体" w:eastAsia="楷体"/>
        </w:rPr>
      </w:pPr>
      <w:r>
        <w:rPr>
          <w:rFonts w:hint="eastAsia" w:ascii="楷体" w:hAnsi="楷体" w:eastAsia="楷体"/>
        </w:rPr>
        <w:t>七、一般公共预算财政拨款</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经费支出决算情况说明八、预算绩效情况说明</w:t>
      </w:r>
    </w:p>
    <w:p>
      <w:pPr>
        <w:pStyle w:val="3"/>
        <w:spacing w:before="2" w:line="376" w:lineRule="auto"/>
        <w:ind w:left="111" w:right="2353"/>
        <w:rPr>
          <w:rFonts w:hint="eastAsia" w:ascii="楷体" w:eastAsia="楷体"/>
        </w:rPr>
      </w:pPr>
      <w:r>
        <w:rPr>
          <w:rFonts w:hint="eastAsia" w:ascii="楷体" w:eastAsia="楷体"/>
        </w:rPr>
        <w:t>九、政府性基金预算财政拨款支出决算情况说明十、机关运行经费支出情况说明</w:t>
      </w:r>
    </w:p>
    <w:p>
      <w:pPr>
        <w:pStyle w:val="3"/>
        <w:spacing w:before="1" w:line="376" w:lineRule="auto"/>
        <w:ind w:left="111" w:right="4913"/>
        <w:jc w:val="both"/>
        <w:rPr>
          <w:rFonts w:hint="eastAsia" w:ascii="黑体" w:eastAsia="黑体"/>
        </w:rPr>
      </w:pPr>
      <w:r>
        <w:rPr>
          <w:rFonts w:hint="eastAsia" w:ascii="楷体" w:eastAsia="楷体"/>
        </w:rPr>
        <w:t>十一、政府采购支出情况说明十二、国有资产占用情况说明</w:t>
      </w:r>
      <w:r>
        <w:rPr>
          <w:rFonts w:hint="eastAsia" w:ascii="黑体" w:eastAsia="黑体"/>
        </w:rPr>
        <w:t>第四部分 名词解释</w:t>
      </w:r>
    </w:p>
    <w:p>
      <w:pPr>
        <w:spacing w:line="376" w:lineRule="auto"/>
        <w:jc w:val="both"/>
        <w:rPr>
          <w:rFonts w:hint="eastAsia" w:ascii="黑体" w:eastAsia="黑体"/>
        </w:rPr>
        <w:sectPr>
          <w:pgSz w:w="11910" w:h="16840"/>
          <w:pgMar w:top="1580" w:right="1300" w:bottom="280" w:left="1420" w:header="720" w:footer="720" w:gutter="0"/>
          <w:cols w:space="720" w:num="1"/>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2"/>
        <w:rPr>
          <w:rFonts w:ascii="黑体"/>
          <w:sz w:val="23"/>
        </w:rPr>
      </w:pPr>
    </w:p>
    <w:p>
      <w:pPr>
        <w:pStyle w:val="2"/>
        <w:numPr>
          <w:ilvl w:val="0"/>
          <w:numId w:val="1"/>
        </w:numPr>
        <w:tabs>
          <w:tab w:val="left" w:pos="3653"/>
        </w:tabs>
        <w:ind w:left="3221" w:leftChars="460" w:hanging="2209" w:hangingChars="500"/>
        <w:jc w:val="center"/>
        <w:rPr>
          <w:b/>
          <w:color w:val="auto"/>
        </w:rPr>
      </w:pPr>
      <w:r>
        <w:rPr>
          <w:b/>
          <w:color w:val="auto"/>
        </w:rPr>
        <w:t>洛阳市</w:t>
      </w:r>
      <w:r>
        <w:rPr>
          <w:rFonts w:hint="eastAsia"/>
          <w:b/>
          <w:color w:val="auto"/>
          <w:lang w:eastAsia="zh-CN"/>
        </w:rPr>
        <w:t>西工区邙岭路</w:t>
      </w:r>
    </w:p>
    <w:p>
      <w:pPr>
        <w:pStyle w:val="2"/>
        <w:numPr>
          <w:ilvl w:val="0"/>
          <w:numId w:val="0"/>
        </w:numPr>
        <w:tabs>
          <w:tab w:val="left" w:pos="3653"/>
        </w:tabs>
        <w:ind w:firstLine="4859" w:firstLineChars="1100"/>
        <w:jc w:val="both"/>
        <w:rPr>
          <w:b/>
          <w:color w:val="auto"/>
        </w:rPr>
        <w:sectPr>
          <w:pgSz w:w="11910" w:h="16840"/>
          <w:pgMar w:top="1580" w:right="1300" w:bottom="280" w:left="1420" w:header="720" w:footer="720" w:gutter="0"/>
          <w:cols w:space="720" w:num="1"/>
        </w:sectPr>
      </w:pPr>
      <w:r>
        <w:rPr>
          <w:rFonts w:hint="eastAsia"/>
          <w:b/>
          <w:color w:val="auto"/>
          <w:lang w:eastAsia="zh-CN"/>
        </w:rPr>
        <w:t>街道办事处</w:t>
      </w:r>
      <w:r>
        <w:rPr>
          <w:b/>
          <w:color w:val="auto"/>
        </w:rPr>
        <w:t>概况</w:t>
      </w:r>
    </w:p>
    <w:p>
      <w:pPr>
        <w:pStyle w:val="3"/>
        <w:spacing w:before="2"/>
        <w:rPr>
          <w:rFonts w:ascii="宋体"/>
          <w:sz w:val="17"/>
        </w:rPr>
      </w:pPr>
    </w:p>
    <w:p>
      <w:pPr>
        <w:pStyle w:val="3"/>
        <w:keepNext w:val="0"/>
        <w:keepLines w:val="0"/>
        <w:pageBreakBefore w:val="0"/>
        <w:widowControl w:val="0"/>
        <w:kinsoku/>
        <w:wordWrap/>
        <w:overflowPunct/>
        <w:topLinePunct w:val="0"/>
        <w:autoSpaceDE w:val="0"/>
        <w:autoSpaceDN w:val="0"/>
        <w:bidi w:val="0"/>
        <w:adjustRightInd/>
        <w:snapToGrid/>
        <w:spacing w:before="55" w:line="360" w:lineRule="auto"/>
        <w:ind w:left="751"/>
        <w:textAlignment w:val="auto"/>
        <w:rPr>
          <w:rFonts w:hint="eastAsia" w:ascii="黑体" w:eastAsia="黑体"/>
        </w:rPr>
      </w:pPr>
      <w:r>
        <w:rPr>
          <w:rFonts w:hint="eastAsia" w:ascii="黑体" w:eastAsia="黑体"/>
        </w:rPr>
        <w:t>一、部门职责</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党政综合便民服务中心负责在辖区内落实“放管服”改革相关政策推进审批服务便民化，劳动就业、社会保障等所有纳入便民服务大厅集中管理的审批、收费项目的服务。社会治安综合治理中心负责统筹协调辖区内社会治安综合治理，维护社会稳定处置非法集资等普法宣传相关工作。文化卫生健康服务中心负责统筹辖区内公共文化，群众文化，辖区内国家基本公共卫生项目实施和健康网络体系建设。社区建设服务中心负责辖区内社区建设与管理，对社区居民委员会的工作给予指导、支持和帮助。产业发展服务中心负责贯彻落实国家产业发展的法律、法规、政策，统筹辖区内经济发展、项目建设、优化营商环境。</w:t>
      </w:r>
    </w:p>
    <w:p>
      <w:pPr>
        <w:pStyle w:val="3"/>
        <w:keepNext w:val="0"/>
        <w:keepLines w:val="0"/>
        <w:pageBreakBefore w:val="0"/>
        <w:widowControl w:val="0"/>
        <w:kinsoku/>
        <w:wordWrap/>
        <w:overflowPunct/>
        <w:topLinePunct w:val="0"/>
        <w:autoSpaceDE w:val="0"/>
        <w:autoSpaceDN w:val="0"/>
        <w:bidi w:val="0"/>
        <w:adjustRightInd/>
        <w:snapToGrid/>
        <w:spacing w:before="166" w:line="360" w:lineRule="auto"/>
        <w:ind w:left="751"/>
        <w:textAlignment w:val="auto"/>
        <w:rPr>
          <w:rFonts w:ascii="黑体"/>
          <w:sz w:val="20"/>
        </w:rPr>
      </w:pPr>
      <w:r>
        <w:rPr>
          <w:rFonts w:hint="eastAsia" w:ascii="黑体" w:eastAsia="黑体"/>
        </w:rPr>
        <w:t>二、机构设置</w:t>
      </w:r>
    </w:p>
    <w:p>
      <w:pPr>
        <w:pStyle w:val="3"/>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rFonts w:ascii="黑体"/>
          <w:sz w:val="16"/>
        </w:rPr>
      </w:pP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 xml:space="preserve"> 邙岭路办事处机关下属设五个职能中心，即：党政综合便民服务中心、社会治安综合治理中心、文化卫生健康服务中心、社区建设服务中心、产业发展服务中心。</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邙岭办部门决算包括办事处机关本级决算和办事处五个下属单位决算，将下属单位全部纳入决算公开范围。具体是：</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 xml:space="preserve"> 1.西工区邙岭路街道办事处本级</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2.党政综合便民服务中心</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3.社会治安综合治理中心</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4.文化卫生健康服务中心</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5.社区建设服务中心</w:t>
      </w:r>
    </w:p>
    <w:p>
      <w:pPr>
        <w:keepNext w:val="0"/>
        <w:keepLines w:val="0"/>
        <w:pageBreakBefore w:val="0"/>
        <w:widowControl w:val="0"/>
        <w:kinsoku/>
        <w:wordWrap/>
        <w:overflowPunct/>
        <w:topLinePunct w:val="0"/>
        <w:autoSpaceDE w:val="0"/>
        <w:autoSpaceDN w:val="0"/>
        <w:bidi w:val="0"/>
        <w:adjustRightInd/>
        <w:snapToGrid/>
        <w:spacing w:line="360" w:lineRule="auto"/>
        <w:ind w:firstLine="504" w:firstLineChars="200"/>
        <w:textAlignment w:val="auto"/>
        <w:rPr>
          <w:rFonts w:hint="eastAsia" w:ascii="仿宋" w:hAnsi="仿宋" w:eastAsia="仿宋" w:cs="仿宋"/>
          <w:spacing w:val="-34"/>
          <w:sz w:val="32"/>
          <w:szCs w:val="32"/>
          <w:lang w:val="zh-CN" w:eastAsia="zh-CN" w:bidi="zh-CN"/>
        </w:rPr>
      </w:pPr>
      <w:r>
        <w:rPr>
          <w:rFonts w:hint="eastAsia" w:ascii="仿宋" w:hAnsi="仿宋" w:eastAsia="仿宋" w:cs="仿宋"/>
          <w:spacing w:val="-34"/>
          <w:sz w:val="32"/>
          <w:szCs w:val="32"/>
          <w:lang w:val="zh-CN" w:eastAsia="zh-CN" w:bidi="zh-CN"/>
        </w:rPr>
        <w:t xml:space="preserve">6.产业发展服务中心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eastAsia="宋体"/>
          <w:sz w:val="32"/>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eastAsia="宋体"/>
          <w:sz w:val="32"/>
        </w:rPr>
        <w:sectPr>
          <w:pgSz w:w="11910" w:h="16840"/>
          <w:pgMar w:top="1580" w:right="1300" w:bottom="280" w:left="1420" w:header="720" w:footer="720" w:gutter="0"/>
          <w:cols w:space="720" w:num="1"/>
        </w:sect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hint="eastAsia" w:ascii="宋体" w:eastAsia="仿宋"/>
          <w:sz w:val="20"/>
          <w:lang w:val="en-US" w:eastAsia="zh-CN"/>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spacing w:before="11"/>
        <w:rPr>
          <w:rFonts w:ascii="宋体"/>
          <w:sz w:val="21"/>
        </w:rPr>
      </w:pPr>
    </w:p>
    <w:p>
      <w:pPr>
        <w:pStyle w:val="2"/>
        <w:tabs>
          <w:tab w:val="left" w:pos="2200"/>
        </w:tabs>
        <w:spacing w:before="51"/>
        <w:ind w:right="120"/>
        <w:rPr>
          <w:rFonts w:hint="eastAsia"/>
          <w:b/>
        </w:rPr>
      </w:pPr>
      <w:r>
        <w:rPr>
          <w:b/>
        </w:rPr>
        <w:t>第二部分</w:t>
      </w:r>
      <w:r>
        <w:rPr>
          <w:b/>
        </w:rPr>
        <w:tab/>
      </w:r>
      <w:r>
        <w:rPr>
          <w:rFonts w:ascii="Times New Roman" w:eastAsia="Times New Roman"/>
          <w:b/>
        </w:rPr>
        <w:t>2020</w:t>
      </w:r>
      <w:r>
        <w:rPr>
          <w:rFonts w:ascii="Times New Roman" w:eastAsia="Times New Roman"/>
          <w:b/>
          <w:spacing w:val="-2"/>
        </w:rPr>
        <w:t xml:space="preserve"> </w:t>
      </w:r>
      <w:r>
        <w:rPr>
          <w:b/>
        </w:rPr>
        <w:t>年度部门决算表</w:t>
      </w:r>
    </w:p>
    <w:p>
      <w:pPr>
        <w:pStyle w:val="2"/>
        <w:tabs>
          <w:tab w:val="left" w:pos="2200"/>
        </w:tabs>
        <w:spacing w:before="51"/>
        <w:ind w:right="120"/>
        <w:rPr>
          <w:rFonts w:hint="eastAsia"/>
          <w:b/>
        </w:rPr>
      </w:pPr>
    </w:p>
    <w:p>
      <w:pPr>
        <w:pStyle w:val="2"/>
        <w:tabs>
          <w:tab w:val="left" w:pos="2200"/>
        </w:tabs>
        <w:spacing w:before="51"/>
        <w:ind w:right="120"/>
        <w:rPr>
          <w:rFonts w:hint="eastAsia"/>
          <w:b/>
        </w:rPr>
      </w:pPr>
    </w:p>
    <w:p>
      <w:pPr>
        <w:pStyle w:val="2"/>
        <w:tabs>
          <w:tab w:val="left" w:pos="2200"/>
        </w:tabs>
        <w:spacing w:before="51"/>
        <w:ind w:right="120"/>
        <w:rPr>
          <w:rFonts w:hint="eastAsia"/>
          <w:b/>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pStyle w:val="3"/>
        <w:adjustRightInd w:val="0"/>
        <w:snapToGrid w:val="0"/>
        <w:spacing w:before="1"/>
        <w:rPr>
          <w:rFonts w:hint="eastAsia" w:ascii="宋体" w:hAnsi="宋体" w:eastAsia="宋体"/>
          <w:color w:val="FF0000"/>
          <w:w w:val="95"/>
          <w:sz w:val="24"/>
          <w:szCs w:val="24"/>
          <w:lang w:eastAsia="zh-CN"/>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1"/>
        <w:gridCol w:w="753"/>
        <w:gridCol w:w="978"/>
        <w:gridCol w:w="3675"/>
        <w:gridCol w:w="753"/>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618.38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center"/>
              <w:rPr>
                <w:rFonts w:hint="eastAsia" w:ascii="宋体" w:hAnsi="宋体" w:eastAsia="宋体" w:cs="宋体"/>
                <w:b/>
                <w:bCs/>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678.38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60" w:lineRule="atLeas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bidi w:val="0"/>
              <w:spacing w:line="6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bidi w:val="0"/>
              <w:spacing w:line="6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注：本表反映部门本年度的总收支和年末结转结余情况。本套报表金额单位转换时可能存在尾数误差。</w:t>
            </w:r>
          </w:p>
        </w:tc>
      </w:tr>
    </w:tbl>
    <w:p>
      <w:pPr>
        <w:pStyle w:val="3"/>
        <w:adjustRightInd w:val="0"/>
        <w:snapToGrid w:val="0"/>
        <w:spacing w:before="1"/>
        <w:rPr>
          <w:rFonts w:hint="eastAsia" w:ascii="宋体" w:hAnsi="宋体" w:eastAsia="宋体"/>
          <w:color w:val="FF0000"/>
          <w:w w:val="95"/>
          <w:sz w:val="24"/>
          <w:szCs w:val="24"/>
          <w:lang w:eastAsia="zh-CN"/>
        </w:rPr>
      </w:pP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40"/>
        <w:gridCol w:w="240"/>
        <w:gridCol w:w="3615"/>
        <w:gridCol w:w="1290"/>
        <w:gridCol w:w="2115"/>
        <w:gridCol w:w="1545"/>
        <w:gridCol w:w="1305"/>
        <w:gridCol w:w="1291"/>
        <w:gridCol w:w="1154"/>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3" w:type="dxa"/>
            <w:gridSpan w:val="11"/>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2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73"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21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61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1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1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678.38</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678.38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416.58</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416.58</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240.39</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240.39</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抗疫相关支出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其他抗疫相关支出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4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240"/>
        <w:gridCol w:w="240"/>
        <w:gridCol w:w="3945"/>
        <w:gridCol w:w="1560"/>
        <w:gridCol w:w="1455"/>
        <w:gridCol w:w="1455"/>
        <w:gridCol w:w="1695"/>
        <w:gridCol w:w="1470"/>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3"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3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3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4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4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4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3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3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679.99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323.36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356.63</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36.61</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116.15</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76.58</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417.06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417.06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240.87</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2120101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240.39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240.39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2120103</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机关服务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176.66</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0.48</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176.18</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抗疫相关支出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2340299</w:t>
            </w:r>
          </w:p>
        </w:tc>
        <w:tc>
          <w:tcPr>
            <w:tcW w:w="3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其他抗疫相关支出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6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43"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4"/>
        <w:gridCol w:w="630"/>
        <w:gridCol w:w="1005"/>
        <w:gridCol w:w="3600"/>
        <w:gridCol w:w="615"/>
        <w:gridCol w:w="1035"/>
        <w:gridCol w:w="1350"/>
        <w:gridCol w:w="1515"/>
        <w:gridCol w:w="516"/>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3"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1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4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4"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04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9594"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1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6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0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3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03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1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1479"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1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3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79"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63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10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61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479"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618.38</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36.61</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116.15</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116.15</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26.68</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26.68</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417.06</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417.06</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17.42</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678.38</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679.99</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619.99</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34.03</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32.42</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32.42</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34.03</w:t>
            </w:r>
          </w:p>
        </w:tc>
        <w:tc>
          <w:tcPr>
            <w:tcW w:w="36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7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7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7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41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630"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712.41</w:t>
            </w:r>
          </w:p>
        </w:tc>
        <w:tc>
          <w:tcPr>
            <w:tcW w:w="36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712.41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652.41</w:t>
            </w:r>
          </w:p>
        </w:tc>
        <w:tc>
          <w:tcPr>
            <w:tcW w:w="15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14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68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注：本表反映部门本年度一般公共预算财政拨款、政府性基金预算财政拨款和国有资本经营预算财政拨款的总收支和年末结转结余情况。</w:t>
            </w:r>
          </w:p>
        </w:tc>
        <w:tc>
          <w:tcPr>
            <w:tcW w:w="96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pStyle w:val="3"/>
        <w:adjustRightInd w:val="0"/>
        <w:snapToGrid w:val="0"/>
        <w:spacing w:before="1"/>
        <w:rPr>
          <w:rFonts w:hint="eastAsia" w:ascii="宋体" w:hAnsi="宋体" w:eastAsia="宋体"/>
          <w:color w:val="FF0000"/>
          <w:w w:val="95"/>
          <w:sz w:val="24"/>
          <w:szCs w:val="24"/>
          <w:lang w:eastAsia="zh-CN"/>
        </w:rPr>
      </w:pPr>
      <w:r>
        <w:rPr>
          <w:rFonts w:hint="eastAsia" w:ascii="宋体" w:hAnsi="宋体" w:eastAsia="宋体"/>
          <w:color w:val="FF0000"/>
          <w:w w:val="95"/>
          <w:sz w:val="24"/>
          <w:szCs w:val="24"/>
          <w:lang w:val="en-US" w:eastAsia="zh-CN"/>
        </w:rPr>
        <w:t xml:space="preserve">  </w:t>
      </w: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9"/>
        <w:gridCol w:w="248"/>
        <w:gridCol w:w="248"/>
        <w:gridCol w:w="4176"/>
        <w:gridCol w:w="1690"/>
        <w:gridCol w:w="1690"/>
        <w:gridCol w:w="2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3"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2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4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4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4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tbl>
      <w:tblPr>
        <w:tblStyle w:val="6"/>
        <w:tblW w:w="14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
        <w:gridCol w:w="2486"/>
        <w:gridCol w:w="1444"/>
        <w:gridCol w:w="1275"/>
        <w:gridCol w:w="1814"/>
        <w:gridCol w:w="1531"/>
        <w:gridCol w:w="1065"/>
        <w:gridCol w:w="2211"/>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99"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48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4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81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3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90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14" w:type="dxa"/>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12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81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3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90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1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958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24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4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18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5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221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6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4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1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8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工资福利支出</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294.53</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16.77</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债务利息及费用支出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基本工资</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76.61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6.93</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国内债务付息</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津贴补贴</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国外债务付息</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奖金</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79.87</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咨询费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伙食补助费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手续费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绩效工资</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30.43</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0.17</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23.34</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职业年金缴费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邮电费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0.76</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职工基本医疗保险缴费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13.98</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取暖费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公务员医疗补助缴费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其他社会保障缴费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0.88</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因公出国（境）费用</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土地补偿</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维修（护）费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安置补助</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其他工资福利支出</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13.66</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地上附着物和青苗补偿</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对个人和家庭的补助</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 xml:space="preserve">12.05                                                           </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离休费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退休费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10.64</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退职（役）费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专用材料费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被装购置费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专用燃料费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救济费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医疗费补助</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委托业务费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39906</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赠与</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助学金</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工会经费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奖励金</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0.16</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福利费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对民间非营利组织和群众性自治组织补贴</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个人农业生产补贴</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221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代缴社会保险费</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其他交通费用</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211"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689" w:type="dxa"/>
            <w:tcBorders>
              <w:top w:val="nil"/>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24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其他对个人和家庭的补助</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税金及附加费用</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211"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689" w:type="dxa"/>
            <w:tcBorders>
              <w:top w:val="nil"/>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4" w:type="dxa"/>
            <w:tcBorders>
              <w:top w:val="nil"/>
              <w:left w:val="single" w:color="000000" w:sz="4" w:space="0"/>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16"/>
                <w:szCs w:val="16"/>
                <w:u w:val="none"/>
              </w:rPr>
            </w:pPr>
          </w:p>
        </w:tc>
        <w:tc>
          <w:tcPr>
            <w:tcW w:w="2486" w:type="dxa"/>
            <w:tcBorders>
              <w:top w:val="nil"/>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16"/>
                <w:szCs w:val="16"/>
                <w:u w:val="none"/>
              </w:rPr>
            </w:pPr>
          </w:p>
        </w:tc>
        <w:tc>
          <w:tcPr>
            <w:tcW w:w="1444" w:type="dxa"/>
            <w:tcBorders>
              <w:top w:val="nil"/>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18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其他商品和服务支出</w:t>
            </w:r>
          </w:p>
        </w:tc>
        <w:tc>
          <w:tcPr>
            <w:tcW w:w="15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6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211"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689" w:type="dxa"/>
            <w:tcBorders>
              <w:top w:val="nil"/>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70" w:type="dxa"/>
            <w:gridSpan w:val="2"/>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人员经费合计</w:t>
            </w: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306.58</w:t>
            </w:r>
          </w:p>
        </w:tc>
        <w:tc>
          <w:tcPr>
            <w:tcW w:w="7896"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公用经费合计</w:t>
            </w:r>
          </w:p>
        </w:tc>
        <w:tc>
          <w:tcPr>
            <w:tcW w:w="1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49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注：本表反映部门本年度一般公共预算财政拨款基本支出明细情况。</w:t>
            </w:r>
          </w:p>
        </w:tc>
      </w:tr>
    </w:tbl>
    <w:p>
      <w:pPr>
        <w:pStyle w:val="3"/>
        <w:adjustRightInd w:val="0"/>
        <w:snapToGrid w:val="0"/>
        <w:spacing w:before="1"/>
        <w:rPr>
          <w:rFonts w:hint="eastAsia" w:ascii="宋体" w:hAnsi="宋体" w:eastAsia="宋体"/>
          <w:color w:val="FF0000"/>
          <w:w w:val="95"/>
          <w:sz w:val="24"/>
          <w:szCs w:val="24"/>
          <w:lang w:eastAsia="zh-CN"/>
        </w:rPr>
      </w:pP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875"/>
        <w:gridCol w:w="690"/>
        <w:gridCol w:w="1350"/>
        <w:gridCol w:w="1305"/>
        <w:gridCol w:w="1290"/>
        <w:gridCol w:w="810"/>
        <w:gridCol w:w="1350"/>
        <w:gridCol w:w="765"/>
        <w:gridCol w:w="1655"/>
        <w:gridCol w:w="1386"/>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43" w:type="dxa"/>
            <w:gridSpan w:val="12"/>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9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5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58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57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58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16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1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643"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p>
      <w:pPr>
        <w:pStyle w:val="3"/>
        <w:adjustRightInd w:val="0"/>
        <w:snapToGrid w:val="0"/>
        <w:spacing w:before="1"/>
        <w:rPr>
          <w:rFonts w:hint="eastAsia" w:ascii="宋体" w:hAnsi="宋体" w:eastAsia="宋体"/>
          <w:color w:val="FF0000"/>
          <w:w w:val="95"/>
          <w:sz w:val="24"/>
          <w:szCs w:val="24"/>
          <w:lang w:eastAsia="zh-CN"/>
        </w:rPr>
      </w:pPr>
    </w:p>
    <w:tbl>
      <w:tblPr>
        <w:tblStyle w:val="6"/>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222"/>
        <w:gridCol w:w="222"/>
        <w:gridCol w:w="2636"/>
        <w:gridCol w:w="1335"/>
        <w:gridCol w:w="1273"/>
        <w:gridCol w:w="776"/>
        <w:gridCol w:w="1219"/>
        <w:gridCol w:w="132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3"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部门：洛阳市西工区人民政府邙岭路办事处</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7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34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抗疫相关支出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其他抗疫相关支出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3"/>
        <w:adjustRightInd w:val="0"/>
        <w:snapToGrid w:val="0"/>
        <w:spacing w:before="1"/>
        <w:rPr>
          <w:rFonts w:hint="eastAsia" w:ascii="宋体" w:hAnsi="宋体" w:eastAsia="宋体"/>
          <w:color w:val="FF0000"/>
          <w:w w:val="95"/>
          <w:sz w:val="24"/>
          <w:szCs w:val="24"/>
          <w:lang w:eastAsia="zh-CN"/>
        </w:rPr>
        <w:sectPr>
          <w:type w:val="continuous"/>
          <w:pgSz w:w="16840" w:h="11910" w:orient="landscape"/>
          <w:pgMar w:top="1580" w:right="1160" w:bottom="280" w:left="1160" w:header="720" w:footer="720" w:gutter="0"/>
          <w:cols w:space="720" w:num="1"/>
        </w:sect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spacing w:before="7"/>
        <w:rPr>
          <w:rFonts w:ascii="宋体"/>
          <w:sz w:val="22"/>
        </w:rPr>
      </w:pPr>
    </w:p>
    <w:p>
      <w:pPr>
        <w:pStyle w:val="2"/>
        <w:tabs>
          <w:tab w:val="left" w:pos="2938"/>
        </w:tabs>
        <w:spacing w:before="52"/>
        <w:ind w:left="737"/>
        <w:jc w:val="left"/>
        <w:rPr>
          <w:b/>
        </w:rPr>
        <w:sectPr>
          <w:pgSz w:w="11910" w:h="16840"/>
          <w:pgMar w:top="1580" w:right="1120" w:bottom="280" w:left="1420" w:header="720" w:footer="720" w:gutter="0"/>
          <w:cols w:space="720" w:num="1"/>
        </w:sectPr>
      </w:pPr>
      <w:r>
        <w:rPr>
          <w:b/>
        </w:rPr>
        <w:t>第三部分</w:t>
      </w:r>
      <w:r>
        <w:rPr>
          <w:b/>
        </w:rPr>
        <w:tab/>
      </w:r>
      <w:r>
        <w:rPr>
          <w:rFonts w:ascii="Times New Roman" w:eastAsia="Times New Roman"/>
          <w:b/>
        </w:rPr>
        <w:t>2020</w:t>
      </w:r>
      <w:r>
        <w:rPr>
          <w:rFonts w:ascii="Times New Roman" w:eastAsia="Times New Roman"/>
          <w:b/>
          <w:spacing w:val="-2"/>
        </w:rPr>
        <w:t xml:space="preserve"> </w:t>
      </w:r>
      <w:r>
        <w:rPr>
          <w:b/>
        </w:rPr>
        <w:t>年度部门决算情况说明</w:t>
      </w:r>
    </w:p>
    <w:p>
      <w:pPr>
        <w:pStyle w:val="3"/>
        <w:spacing w:before="2"/>
        <w:rPr>
          <w:rFonts w:ascii="宋体"/>
          <w:sz w:val="17"/>
        </w:rPr>
      </w:pPr>
    </w:p>
    <w:p>
      <w:pPr>
        <w:pStyle w:val="3"/>
        <w:spacing w:before="55"/>
        <w:ind w:left="751"/>
        <w:rPr>
          <w:rFonts w:hint="eastAsia" w:ascii="黑体" w:eastAsia="黑体"/>
        </w:rPr>
      </w:pPr>
      <w:r>
        <w:rPr>
          <w:rFonts w:hint="eastAsia" w:ascii="黑体" w:eastAsia="黑体"/>
        </w:rPr>
        <w:t>一、收入支出决算总体情况说明</w:t>
      </w:r>
    </w:p>
    <w:p>
      <w:pPr>
        <w:pStyle w:val="3"/>
        <w:spacing w:before="170" w:line="338" w:lineRule="auto"/>
        <w:ind w:left="111" w:right="410" w:firstLine="640"/>
        <w:jc w:val="left"/>
      </w:pPr>
      <w:r>
        <w:rPr>
          <w:rFonts w:ascii="Times New Roman" w:eastAsia="Times New Roman"/>
        </w:rPr>
        <w:t xml:space="preserve">2020 </w:t>
      </w:r>
      <w:r>
        <w:rPr>
          <w:spacing w:val="-8"/>
        </w:rPr>
        <w:t>年度收、支总计均为</w:t>
      </w:r>
      <w:r>
        <w:rPr>
          <w:rFonts w:hint="eastAsia" w:ascii="Times New Roman" w:eastAsia="宋体"/>
          <w:lang w:val="en-US" w:eastAsia="zh-CN"/>
        </w:rPr>
        <w:t>712.41</w:t>
      </w:r>
      <w:r>
        <w:t>万元。与上年度相比，</w:t>
      </w:r>
      <w:r>
        <w:rPr>
          <w:spacing w:val="-3"/>
        </w:rPr>
        <w:t>收、支总计各增加</w:t>
      </w:r>
      <w:r>
        <w:rPr>
          <w:rFonts w:hint="eastAsia" w:ascii="Times New Roman" w:eastAsia="宋体"/>
          <w:lang w:val="en-US" w:eastAsia="zh-CN"/>
        </w:rPr>
        <w:t>6.71</w:t>
      </w:r>
      <w:r>
        <w:rPr>
          <w:spacing w:val="-7"/>
        </w:rPr>
        <w:t>万元，增长</w:t>
      </w:r>
      <w:r>
        <w:rPr>
          <w:rFonts w:hint="eastAsia" w:ascii="Times New Roman" w:eastAsia="宋体"/>
          <w:lang w:val="en-US" w:eastAsia="zh-CN"/>
        </w:rPr>
        <w:t>0.94</w:t>
      </w:r>
      <w:r>
        <w:rPr>
          <w:rFonts w:ascii="Times New Roman" w:eastAsia="Times New Roman"/>
        </w:rPr>
        <w:t>%</w:t>
      </w:r>
      <w:r>
        <w:rPr>
          <w:spacing w:val="6"/>
        </w:rPr>
        <w:t>。主要原因是</w:t>
      </w:r>
      <w:r>
        <w:rPr>
          <w:rFonts w:ascii="Times New Roman" w:eastAsia="Times New Roman"/>
          <w:spacing w:val="6"/>
        </w:rPr>
        <w:t>2020</w:t>
      </w:r>
      <w:r>
        <w:rPr>
          <w:spacing w:val="18"/>
        </w:rPr>
        <w:t>年新冠肺炎疫情突发，</w:t>
      </w:r>
      <w:r>
        <w:rPr>
          <w:spacing w:val="2"/>
        </w:rPr>
        <w:t>突发公共卫生事件应急处理较上</w:t>
      </w:r>
      <w:r>
        <w:rPr>
          <w:spacing w:val="-22"/>
        </w:rPr>
        <w:t>年增加</w:t>
      </w:r>
      <w:r>
        <w:rPr>
          <w:rFonts w:hint="eastAsia" w:ascii="Times New Roman" w:eastAsia="宋体"/>
          <w:lang w:val="en-US" w:eastAsia="zh-CN"/>
        </w:rPr>
        <w:t>7.09</w:t>
      </w:r>
      <w:r>
        <w:rPr>
          <w:spacing w:val="-18"/>
        </w:rPr>
        <w:t>万元</w:t>
      </w:r>
      <w:r>
        <w:t>（</w:t>
      </w:r>
      <w:r>
        <w:rPr>
          <w:spacing w:val="-22"/>
        </w:rPr>
        <w:t xml:space="preserve">上年为 </w:t>
      </w:r>
      <w:r>
        <w:rPr>
          <w:rFonts w:ascii="Times New Roman" w:eastAsia="Times New Roman"/>
        </w:rPr>
        <w:t>0</w:t>
      </w:r>
      <w:r>
        <w:rPr>
          <w:rFonts w:ascii="Times New Roman" w:eastAsia="Times New Roman"/>
          <w:spacing w:val="-3"/>
        </w:rPr>
        <w:t xml:space="preserve"> </w:t>
      </w:r>
      <w:r>
        <w:t>万元</w:t>
      </w:r>
      <w:r>
        <w:rPr>
          <w:spacing w:val="-38"/>
        </w:rPr>
        <w:t>）</w:t>
      </w:r>
      <w:r>
        <w:rPr>
          <w:spacing w:val="-6"/>
        </w:rPr>
        <w:t>；抗疫特别国债安排的</w:t>
      </w:r>
      <w:r>
        <w:t>支出</w:t>
      </w:r>
      <w:r>
        <w:rPr>
          <w:spacing w:val="-6"/>
        </w:rPr>
        <w:t>较上年增加</w:t>
      </w:r>
      <w:r>
        <w:rPr>
          <w:rFonts w:hint="eastAsia"/>
          <w:spacing w:val="-6"/>
          <w:lang w:val="en-US" w:eastAsia="zh-CN"/>
        </w:rPr>
        <w:t>60万元</w:t>
      </w:r>
      <w:r>
        <w:t>（</w:t>
      </w:r>
      <w:r>
        <w:rPr>
          <w:spacing w:val="-20"/>
        </w:rPr>
        <w:t xml:space="preserve">上年为 </w:t>
      </w:r>
      <w:r>
        <w:rPr>
          <w:rFonts w:ascii="Times New Roman" w:eastAsia="Times New Roman"/>
        </w:rPr>
        <w:t xml:space="preserve">0 </w:t>
      </w:r>
      <w:r>
        <w:t>万元）。</w:t>
      </w:r>
    </w:p>
    <w:p>
      <w:pPr>
        <w:pStyle w:val="3"/>
        <w:spacing w:line="405" w:lineRule="exact"/>
        <w:ind w:left="751"/>
        <w:rPr>
          <w:rFonts w:hint="eastAsia" w:ascii="黑体" w:eastAsia="黑体"/>
        </w:rPr>
      </w:pPr>
      <w:r>
        <w:rPr>
          <w:rFonts w:hint="eastAsia" w:ascii="黑体" w:eastAsia="黑体"/>
        </w:rPr>
        <w:t>二、收入决算情况说明</w:t>
      </w:r>
    </w:p>
    <w:p>
      <w:pPr>
        <w:pStyle w:val="3"/>
        <w:spacing w:before="171" w:line="338" w:lineRule="auto"/>
        <w:ind w:left="111" w:right="405" w:firstLine="640"/>
        <w:jc w:val="both"/>
      </w:pPr>
      <w:r>
        <w:rPr>
          <w:rFonts w:ascii="Times New Roman" w:eastAsia="Times New Roman"/>
        </w:rPr>
        <w:t>2020</w:t>
      </w:r>
      <w:r>
        <w:rPr>
          <w:rFonts w:ascii="Times New Roman" w:eastAsia="Times New Roman"/>
          <w:spacing w:val="-7"/>
        </w:rPr>
        <w:t xml:space="preserve"> </w:t>
      </w:r>
      <w:r>
        <w:rPr>
          <w:spacing w:val="-13"/>
        </w:rPr>
        <w:t>年度收入合计</w:t>
      </w:r>
      <w:r>
        <w:rPr>
          <w:rFonts w:hint="eastAsia"/>
          <w:spacing w:val="-13"/>
          <w:lang w:val="en-US" w:eastAsia="zh-CN"/>
        </w:rPr>
        <w:t xml:space="preserve"> </w:t>
      </w:r>
      <w:r>
        <w:rPr>
          <w:rFonts w:hint="eastAsia" w:ascii="Times New Roman" w:eastAsia="宋体"/>
          <w:lang w:val="en-US" w:eastAsia="zh-CN"/>
        </w:rPr>
        <w:t xml:space="preserve">678.38 </w:t>
      </w:r>
      <w:r>
        <w:rPr>
          <w:spacing w:val="-22"/>
        </w:rPr>
        <w:t>万元，比上年度增加</w:t>
      </w:r>
      <w:r>
        <w:rPr>
          <w:rFonts w:hint="eastAsia"/>
          <w:spacing w:val="-22"/>
          <w:lang w:val="en-US" w:eastAsia="zh-CN"/>
        </w:rPr>
        <w:t xml:space="preserve"> </w:t>
      </w:r>
      <w:r>
        <w:rPr>
          <w:rFonts w:hint="eastAsia" w:ascii="Times New Roman" w:eastAsia="宋体"/>
          <w:lang w:val="en-US" w:eastAsia="zh-CN"/>
        </w:rPr>
        <w:t xml:space="preserve">12.46 </w:t>
      </w:r>
      <w:r>
        <w:rPr>
          <w:spacing w:val="-5"/>
        </w:rPr>
        <w:t>万元，增长</w:t>
      </w:r>
      <w:r>
        <w:rPr>
          <w:rFonts w:hint="eastAsia"/>
          <w:spacing w:val="-5"/>
          <w:lang w:val="en-US" w:eastAsia="zh-CN"/>
        </w:rPr>
        <w:t xml:space="preserve"> </w:t>
      </w:r>
      <w:r>
        <w:rPr>
          <w:rFonts w:hint="eastAsia" w:ascii="Times New Roman" w:eastAsia="宋体"/>
          <w:lang w:val="en-US" w:eastAsia="zh-CN"/>
        </w:rPr>
        <w:t>1.83</w:t>
      </w:r>
      <w:r>
        <w:rPr>
          <w:rFonts w:ascii="Times New Roman" w:eastAsia="Times New Roman"/>
          <w:spacing w:val="2"/>
        </w:rPr>
        <w:t>%</w:t>
      </w:r>
      <w:r>
        <w:rPr>
          <w:spacing w:val="10"/>
        </w:rPr>
        <w:t>。其中：财政拨款收入</w:t>
      </w:r>
      <w:r>
        <w:rPr>
          <w:rFonts w:hint="eastAsia" w:ascii="Times New Roman" w:eastAsia="宋体"/>
          <w:lang w:val="en-US" w:eastAsia="zh-CN"/>
        </w:rPr>
        <w:t>678.38</w:t>
      </w:r>
      <w:r>
        <w:rPr>
          <w:spacing w:val="9"/>
        </w:rPr>
        <w:t>万元，占</w:t>
      </w:r>
      <w:r>
        <w:rPr>
          <w:rFonts w:hint="default" w:ascii="Times New Roman" w:eastAsia="宋体"/>
          <w:lang w:val="en-US" w:eastAsia="zh-CN"/>
        </w:rPr>
        <w:t>100%</w:t>
      </w:r>
      <w:r>
        <w:t>。</w:t>
      </w:r>
    </w:p>
    <w:p>
      <w:pPr>
        <w:pStyle w:val="3"/>
        <w:spacing w:before="9"/>
        <w:ind w:left="751"/>
        <w:rPr>
          <w:rFonts w:hint="eastAsia" w:ascii="黑体" w:eastAsia="黑体"/>
        </w:rPr>
      </w:pPr>
      <w:r>
        <w:rPr>
          <w:rFonts w:hint="eastAsia" w:ascii="黑体" w:eastAsia="黑体"/>
        </w:rPr>
        <w:t>三、支出决算情况说明</w:t>
      </w:r>
    </w:p>
    <w:p>
      <w:pPr>
        <w:pStyle w:val="3"/>
        <w:spacing w:before="168" w:line="340" w:lineRule="auto"/>
        <w:ind w:left="111" w:right="245" w:firstLine="640"/>
      </w:pPr>
      <w:r>
        <w:rPr>
          <w:rFonts w:ascii="Times New Roman" w:eastAsia="Times New Roman"/>
        </w:rPr>
        <w:t xml:space="preserve">2020 </w:t>
      </w:r>
      <w:r>
        <w:rPr>
          <w:spacing w:val="-12"/>
        </w:rPr>
        <w:t>年度支出合计</w:t>
      </w:r>
      <w:r>
        <w:rPr>
          <w:rFonts w:hint="eastAsia"/>
          <w:spacing w:val="-12"/>
          <w:lang w:val="en-US" w:eastAsia="zh-CN"/>
        </w:rPr>
        <w:t xml:space="preserve"> </w:t>
      </w:r>
      <w:r>
        <w:rPr>
          <w:rFonts w:hint="eastAsia" w:ascii="Times New Roman" w:eastAsia="宋体"/>
          <w:lang w:val="en-US" w:eastAsia="zh-CN"/>
        </w:rPr>
        <w:t>679.99</w:t>
      </w:r>
      <w:r>
        <w:rPr>
          <w:spacing w:val="-22"/>
        </w:rPr>
        <w:t>万元，比上年度增加</w:t>
      </w:r>
      <w:r>
        <w:rPr>
          <w:rFonts w:hint="eastAsia"/>
          <w:spacing w:val="-22"/>
          <w:lang w:val="en-US" w:eastAsia="zh-CN"/>
        </w:rPr>
        <w:t xml:space="preserve"> </w:t>
      </w:r>
      <w:r>
        <w:rPr>
          <w:rFonts w:hint="eastAsia" w:ascii="Times New Roman" w:eastAsia="宋体"/>
          <w:lang w:val="en-US" w:eastAsia="zh-CN"/>
        </w:rPr>
        <w:t>34.14</w:t>
      </w:r>
      <w:r>
        <w:rPr>
          <w:spacing w:val="-33"/>
        </w:rPr>
        <w:t xml:space="preserve">万元，增长 </w:t>
      </w:r>
      <w:r>
        <w:rPr>
          <w:rFonts w:hint="eastAsia" w:ascii="Times New Roman" w:eastAsia="宋体"/>
          <w:lang w:val="en-US" w:eastAsia="zh-CN"/>
        </w:rPr>
        <w:t>5.02</w:t>
      </w:r>
      <w:r>
        <w:rPr>
          <w:rFonts w:ascii="Times New Roman" w:eastAsia="Times New Roman"/>
        </w:rPr>
        <w:t>%</w:t>
      </w:r>
      <w:r>
        <w:rPr>
          <w:spacing w:val="-34"/>
        </w:rPr>
        <w:t>。其中：基本支出</w:t>
      </w:r>
      <w:r>
        <w:rPr>
          <w:rFonts w:hint="eastAsia"/>
          <w:spacing w:val="-34"/>
          <w:lang w:val="en-US" w:eastAsia="zh-CN"/>
        </w:rPr>
        <w:t xml:space="preserve"> </w:t>
      </w:r>
      <w:r>
        <w:rPr>
          <w:rFonts w:hint="eastAsia" w:ascii="Times New Roman" w:eastAsia="宋体"/>
          <w:lang w:val="en-US" w:eastAsia="zh-CN"/>
        </w:rPr>
        <w:t>323.36</w:t>
      </w:r>
      <w:r>
        <w:rPr>
          <w:spacing w:val="-38"/>
        </w:rPr>
        <w:t>万元，占</w:t>
      </w:r>
      <w:r>
        <w:rPr>
          <w:rFonts w:hint="eastAsia"/>
          <w:spacing w:val="-38"/>
          <w:lang w:val="en-US" w:eastAsia="zh-CN"/>
        </w:rPr>
        <w:t xml:space="preserve"> </w:t>
      </w:r>
      <w:r>
        <w:rPr>
          <w:rFonts w:hint="eastAsia" w:ascii="Times New Roman" w:eastAsia="宋体"/>
          <w:lang w:val="en-US" w:eastAsia="zh-CN"/>
        </w:rPr>
        <w:t>47.55</w:t>
      </w:r>
      <w:r>
        <w:rPr>
          <w:rFonts w:ascii="Times New Roman" w:eastAsia="Times New Roman"/>
        </w:rPr>
        <w:t>%</w:t>
      </w:r>
      <w:r>
        <w:rPr>
          <w:rFonts w:hint="eastAsia" w:ascii="Times New Roman" w:eastAsia="宋体"/>
          <w:lang w:eastAsia="zh-CN"/>
        </w:rPr>
        <w:t>；</w:t>
      </w:r>
      <w:r>
        <w:rPr>
          <w:spacing w:val="-16"/>
        </w:rPr>
        <w:t>项目支出</w:t>
      </w:r>
      <w:r>
        <w:rPr>
          <w:rFonts w:hint="eastAsia" w:ascii="Times New Roman" w:eastAsia="宋体"/>
          <w:lang w:val="en-US" w:eastAsia="zh-CN"/>
        </w:rPr>
        <w:t>356.63</w:t>
      </w:r>
      <w:r>
        <w:rPr>
          <w:spacing w:val="-16"/>
        </w:rPr>
        <w:t>万元，占</w:t>
      </w:r>
      <w:r>
        <w:rPr>
          <w:rFonts w:hint="eastAsia"/>
          <w:spacing w:val="-16"/>
          <w:lang w:val="en-US" w:eastAsia="zh-CN"/>
        </w:rPr>
        <w:t xml:space="preserve"> </w:t>
      </w:r>
      <w:r>
        <w:rPr>
          <w:rFonts w:hint="eastAsia" w:ascii="Times New Roman" w:eastAsia="宋体"/>
          <w:lang w:val="en-US" w:eastAsia="zh-CN"/>
        </w:rPr>
        <w:t>52.45</w:t>
      </w:r>
      <w:r>
        <w:rPr>
          <w:rFonts w:ascii="Times New Roman" w:eastAsia="Times New Roman"/>
        </w:rPr>
        <w:t>%</w:t>
      </w:r>
      <w:r>
        <w:t>。</w:t>
      </w:r>
    </w:p>
    <w:p>
      <w:pPr>
        <w:pStyle w:val="3"/>
        <w:spacing w:line="403" w:lineRule="exact"/>
        <w:ind w:left="751"/>
        <w:rPr>
          <w:rFonts w:hint="eastAsia" w:ascii="黑体" w:eastAsia="黑体"/>
        </w:rPr>
      </w:pPr>
      <w:r>
        <w:rPr>
          <w:rFonts w:hint="eastAsia" w:ascii="黑体" w:eastAsia="黑体"/>
        </w:rPr>
        <w:t>四、财政拨款收入支出决算总体情况说明</w:t>
      </w:r>
    </w:p>
    <w:p>
      <w:pPr>
        <w:pStyle w:val="3"/>
        <w:spacing w:before="168" w:line="340" w:lineRule="auto"/>
        <w:ind w:left="111" w:right="245" w:firstLine="640"/>
        <w:rPr>
          <w:rFonts w:hint="eastAsia" w:eastAsia="仿宋"/>
          <w:spacing w:val="-34"/>
          <w:lang w:eastAsia="zh-CN"/>
        </w:rPr>
      </w:pPr>
      <w:r>
        <w:rPr>
          <w:rFonts w:hint="default" w:ascii="Times New Roman" w:hAnsi="Times New Roman" w:cs="Times New Roman"/>
          <w:spacing w:val="-34"/>
        </w:rPr>
        <w:t xml:space="preserve">2020 </w:t>
      </w:r>
      <w:r>
        <w:rPr>
          <w:spacing w:val="-34"/>
        </w:rPr>
        <w:t>年度财政拨款收、支总计均为</w:t>
      </w:r>
      <w:r>
        <w:rPr>
          <w:rFonts w:hint="eastAsia"/>
          <w:spacing w:val="-34"/>
          <w:lang w:val="en-US" w:eastAsia="zh-CN"/>
        </w:rPr>
        <w:t xml:space="preserve"> </w:t>
      </w:r>
      <w:r>
        <w:rPr>
          <w:rFonts w:hint="eastAsia" w:ascii="Times New Roman" w:eastAsia="宋体"/>
          <w:lang w:val="en-US" w:eastAsia="zh-CN"/>
        </w:rPr>
        <w:t>712.41</w:t>
      </w:r>
      <w:r>
        <w:rPr>
          <w:spacing w:val="-34"/>
        </w:rPr>
        <w:t>万元，与上年度相比，财政拨款收、支总计各增加</w:t>
      </w:r>
      <w:r>
        <w:rPr>
          <w:rFonts w:hint="eastAsia"/>
          <w:spacing w:val="-34"/>
          <w:lang w:val="en-US" w:eastAsia="zh-CN"/>
        </w:rPr>
        <w:t xml:space="preserve"> </w:t>
      </w:r>
      <w:r>
        <w:rPr>
          <w:rFonts w:hint="eastAsia" w:ascii="Times New Roman" w:eastAsia="宋体"/>
          <w:lang w:val="en-US" w:eastAsia="zh-CN"/>
        </w:rPr>
        <w:t>6.71</w:t>
      </w:r>
      <w:r>
        <w:rPr>
          <w:spacing w:val="-34"/>
        </w:rPr>
        <w:t>万元， 增长</w:t>
      </w:r>
      <w:r>
        <w:rPr>
          <w:rFonts w:hint="eastAsia"/>
          <w:spacing w:val="-34"/>
          <w:lang w:val="en-US" w:eastAsia="zh-CN"/>
        </w:rPr>
        <w:t xml:space="preserve"> </w:t>
      </w:r>
      <w:r>
        <w:rPr>
          <w:rFonts w:hint="eastAsia" w:ascii="Times New Roman" w:eastAsia="宋体"/>
          <w:lang w:val="en-US" w:eastAsia="zh-CN"/>
        </w:rPr>
        <w:t>0.94%</w:t>
      </w:r>
      <w:r>
        <w:rPr>
          <w:spacing w:val="-34"/>
        </w:rPr>
        <w:t>。主要原因是</w:t>
      </w:r>
      <w:r>
        <w:rPr>
          <w:rFonts w:hint="default" w:ascii="Times New Roman" w:hAnsi="Times New Roman" w:cs="Times New Roman"/>
          <w:spacing w:val="-34"/>
        </w:rPr>
        <w:t xml:space="preserve"> 2020 </w:t>
      </w:r>
      <w:r>
        <w:rPr>
          <w:spacing w:val="-34"/>
        </w:rPr>
        <w:t>年新冠肺炎疫情突发，各级财政加大了疫情防控经费投入</w:t>
      </w:r>
      <w:r>
        <w:rPr>
          <w:rFonts w:hint="eastAsia"/>
          <w:spacing w:val="-34"/>
          <w:lang w:eastAsia="zh-CN"/>
        </w:rPr>
        <w:t>，</w:t>
      </w:r>
      <w:r>
        <w:rPr>
          <w:spacing w:val="-34"/>
        </w:rPr>
        <w:t>抗疫特别国债安排的支出较上年增加</w:t>
      </w:r>
      <w:r>
        <w:rPr>
          <w:rFonts w:hint="eastAsia"/>
          <w:spacing w:val="-34"/>
          <w:lang w:val="en-US" w:eastAsia="zh-CN"/>
        </w:rPr>
        <w:t xml:space="preserve"> </w:t>
      </w:r>
      <w:r>
        <w:rPr>
          <w:rFonts w:hint="eastAsia" w:ascii="Times New Roman" w:eastAsia="宋体"/>
          <w:lang w:val="en-US" w:eastAsia="zh-CN"/>
        </w:rPr>
        <w:t>60</w:t>
      </w:r>
      <w:r>
        <w:rPr>
          <w:spacing w:val="-34"/>
        </w:rPr>
        <w:t>万元。</w:t>
      </w:r>
      <w:r>
        <w:rPr>
          <w:rFonts w:hint="eastAsia"/>
          <w:spacing w:val="-34"/>
          <w:lang w:eastAsia="zh-CN"/>
        </w:rPr>
        <w:t>一般公共服务</w:t>
      </w:r>
      <w:r>
        <w:rPr>
          <w:spacing w:val="-34"/>
        </w:rPr>
        <w:t>支出较上年增加</w:t>
      </w:r>
      <w:r>
        <w:rPr>
          <w:rFonts w:hint="eastAsia"/>
          <w:spacing w:val="-34"/>
          <w:lang w:val="en-US" w:eastAsia="zh-CN"/>
        </w:rPr>
        <w:t xml:space="preserve"> </w:t>
      </w:r>
      <w:r>
        <w:rPr>
          <w:rFonts w:hint="eastAsia" w:ascii="Times New Roman" w:eastAsia="宋体"/>
          <w:lang w:val="en-US" w:eastAsia="zh-CN"/>
        </w:rPr>
        <w:t>18.52</w:t>
      </w:r>
      <w:r>
        <w:rPr>
          <w:spacing w:val="-34"/>
        </w:rPr>
        <w:t>万元，</w:t>
      </w:r>
      <w:r>
        <w:rPr>
          <w:rFonts w:hint="eastAsia"/>
          <w:spacing w:val="-34"/>
          <w:lang w:eastAsia="zh-CN"/>
        </w:rPr>
        <w:t>卫生健康</w:t>
      </w:r>
      <w:r>
        <w:rPr>
          <w:spacing w:val="-34"/>
        </w:rPr>
        <w:t>支出较上年增加</w:t>
      </w:r>
      <w:r>
        <w:rPr>
          <w:rFonts w:hint="eastAsia" w:ascii="Times New Roman" w:eastAsia="宋体"/>
          <w:lang w:val="en-US" w:eastAsia="zh-CN"/>
        </w:rPr>
        <w:t>12.03</w:t>
      </w:r>
      <w:r>
        <w:rPr>
          <w:spacing w:val="-34"/>
        </w:rPr>
        <w:t>万元，</w:t>
      </w:r>
      <w:r>
        <w:rPr>
          <w:rFonts w:hint="eastAsia"/>
          <w:spacing w:val="-34"/>
          <w:lang w:eastAsia="zh-CN"/>
        </w:rPr>
        <w:t>住房保障支出</w:t>
      </w:r>
      <w:r>
        <w:rPr>
          <w:spacing w:val="-34"/>
        </w:rPr>
        <w:t>较上年增加</w:t>
      </w:r>
      <w:r>
        <w:rPr>
          <w:rFonts w:hint="eastAsia" w:ascii="Times New Roman" w:eastAsia="宋体"/>
          <w:lang w:val="en-US" w:eastAsia="zh-CN"/>
        </w:rPr>
        <w:t>1.18</w:t>
      </w:r>
      <w:r>
        <w:rPr>
          <w:spacing w:val="-34"/>
        </w:rPr>
        <w:t>万元</w:t>
      </w:r>
      <w:r>
        <w:rPr>
          <w:rFonts w:hint="eastAsia"/>
          <w:spacing w:val="-34"/>
          <w:lang w:eastAsia="zh-CN"/>
        </w:rPr>
        <w:t>。</w:t>
      </w:r>
    </w:p>
    <w:p>
      <w:pPr>
        <w:pStyle w:val="3"/>
        <w:spacing w:before="168" w:line="340" w:lineRule="auto"/>
        <w:ind w:left="111" w:right="245" w:firstLine="640"/>
        <w:rPr>
          <w:rFonts w:hint="eastAsia" w:ascii="Times New Roman" w:eastAsia="Times New Roman"/>
        </w:rPr>
      </w:pPr>
      <w:r>
        <w:rPr>
          <w:rFonts w:hint="eastAsia" w:ascii="黑体" w:eastAsia="黑体"/>
          <w:sz w:val="30"/>
        </w:rPr>
        <w:t>五、一般公共预算财政拨款支出决算情况说明</w:t>
      </w:r>
    </w:p>
    <w:p>
      <w:pPr>
        <w:pStyle w:val="3"/>
        <w:spacing w:before="177"/>
        <w:ind w:left="751"/>
        <w:rPr>
          <w:rFonts w:hint="eastAsia" w:ascii="楷体" w:eastAsia="楷体"/>
        </w:rPr>
      </w:pPr>
      <w:r>
        <w:rPr>
          <w:rFonts w:hint="eastAsia" w:ascii="楷体" w:eastAsia="楷体"/>
        </w:rPr>
        <w:t>（一）总体情况</w:t>
      </w:r>
    </w:p>
    <w:p>
      <w:pPr>
        <w:pStyle w:val="3"/>
        <w:spacing w:before="168" w:line="340" w:lineRule="auto"/>
        <w:ind w:left="111" w:right="409" w:firstLine="640"/>
        <w:jc w:val="both"/>
        <w:rPr>
          <w:rFonts w:hint="eastAsia" w:eastAsia="宋体"/>
          <w:lang w:eastAsia="zh-CN"/>
        </w:rPr>
      </w:pPr>
      <w:r>
        <w:rPr>
          <w:rFonts w:ascii="Times New Roman" w:eastAsia="Times New Roman"/>
        </w:rPr>
        <w:t xml:space="preserve">2020 </w:t>
      </w:r>
      <w:r>
        <w:rPr>
          <w:spacing w:val="-5"/>
        </w:rPr>
        <w:t>年度一般公共预算财政拨款支出</w:t>
      </w:r>
      <w:r>
        <w:rPr>
          <w:rFonts w:hint="eastAsia" w:ascii="Times New Roman" w:eastAsia="宋体"/>
          <w:lang w:val="en-US" w:eastAsia="zh-CN"/>
        </w:rPr>
        <w:t>619.99</w:t>
      </w:r>
      <w:r>
        <w:t>万元，占本</w:t>
      </w:r>
      <w:r>
        <w:rPr>
          <w:spacing w:val="-10"/>
        </w:rPr>
        <w:t>年支出合计的</w:t>
      </w:r>
      <w:r>
        <w:rPr>
          <w:rFonts w:hint="eastAsia" w:ascii="Times New Roman" w:eastAsia="宋体"/>
          <w:lang w:val="en-US" w:eastAsia="zh-CN"/>
        </w:rPr>
        <w:t>91.18</w:t>
      </w:r>
      <w:r>
        <w:rPr>
          <w:rFonts w:ascii="Times New Roman" w:eastAsia="Times New Roman"/>
        </w:rPr>
        <w:t>%</w:t>
      </w:r>
      <w:r>
        <w:rPr>
          <w:spacing w:val="3"/>
        </w:rPr>
        <w:t>。与上年度相比，一般公共预算财政拨款</w:t>
      </w:r>
      <w:r>
        <w:rPr>
          <w:spacing w:val="-17"/>
        </w:rPr>
        <w:t>支出</w:t>
      </w:r>
      <w:r>
        <w:rPr>
          <w:rFonts w:hint="eastAsia"/>
          <w:spacing w:val="-17"/>
          <w:lang w:eastAsia="zh-CN"/>
        </w:rPr>
        <w:t>减少</w:t>
      </w:r>
      <w:r>
        <w:rPr>
          <w:rFonts w:hint="eastAsia" w:ascii="Times New Roman" w:eastAsia="宋体"/>
          <w:lang w:val="en-US" w:eastAsia="zh-CN"/>
        </w:rPr>
        <w:t>25.86</w:t>
      </w:r>
      <w:r>
        <w:rPr>
          <w:spacing w:val="-14"/>
        </w:rPr>
        <w:t>万元，</w:t>
      </w:r>
      <w:r>
        <w:rPr>
          <w:rFonts w:hint="eastAsia"/>
          <w:spacing w:val="-14"/>
          <w:lang w:eastAsia="zh-CN"/>
        </w:rPr>
        <w:t>下降</w:t>
      </w:r>
      <w:r>
        <w:rPr>
          <w:rFonts w:hint="eastAsia" w:ascii="Times New Roman" w:eastAsia="宋体"/>
          <w:lang w:val="en-US" w:eastAsia="zh-CN"/>
        </w:rPr>
        <w:t>4.80</w:t>
      </w:r>
      <w:r>
        <w:rPr>
          <w:rFonts w:ascii="Times New Roman" w:eastAsia="Times New Roman"/>
        </w:rPr>
        <w:t>%</w:t>
      </w:r>
      <w:r>
        <w:rPr>
          <w:spacing w:val="-12"/>
        </w:rPr>
        <w:t>。</w:t>
      </w:r>
      <w:r>
        <w:rPr>
          <w:rFonts w:hint="eastAsia"/>
          <w:spacing w:val="-12"/>
          <w:lang w:eastAsia="zh-CN"/>
        </w:rPr>
        <w:t>主要原因是：</w:t>
      </w:r>
      <w:r>
        <w:rPr>
          <w:rFonts w:hint="eastAsia"/>
          <w:spacing w:val="6"/>
          <w:lang w:eastAsia="zh-CN"/>
        </w:rPr>
        <w:t>社会保障和就业</w:t>
      </w:r>
      <w:r>
        <w:rPr>
          <w:spacing w:val="6"/>
        </w:rPr>
        <w:t>支出较上年</w:t>
      </w:r>
      <w:r>
        <w:rPr>
          <w:rFonts w:hint="eastAsia"/>
          <w:spacing w:val="6"/>
          <w:lang w:eastAsia="zh-CN"/>
        </w:rPr>
        <w:t>减少</w:t>
      </w:r>
      <w:r>
        <w:rPr>
          <w:rFonts w:hint="eastAsia" w:ascii="Times New Roman" w:eastAsia="宋体"/>
          <w:lang w:val="en-US" w:eastAsia="zh-CN"/>
        </w:rPr>
        <w:t>9.49</w:t>
      </w:r>
      <w:r>
        <w:rPr>
          <w:rFonts w:ascii="Times New Roman" w:eastAsia="Times New Roman"/>
          <w:spacing w:val="-3"/>
        </w:rPr>
        <w:t xml:space="preserve"> </w:t>
      </w:r>
      <w:r>
        <w:rPr>
          <w:spacing w:val="9"/>
        </w:rPr>
        <w:t>万元，</w:t>
      </w:r>
      <w:r>
        <w:rPr>
          <w:rFonts w:hint="eastAsia"/>
          <w:spacing w:val="9"/>
          <w:lang w:eastAsia="zh-CN"/>
        </w:rPr>
        <w:t>下降</w:t>
      </w:r>
      <w:r>
        <w:rPr>
          <w:rFonts w:hint="eastAsia" w:ascii="Times New Roman" w:eastAsia="宋体"/>
          <w:lang w:val="en-US" w:eastAsia="zh-CN"/>
        </w:rPr>
        <w:t>7.55</w:t>
      </w:r>
      <w:r>
        <w:rPr>
          <w:rFonts w:ascii="Times New Roman" w:eastAsia="Times New Roman"/>
          <w:spacing w:val="-20"/>
        </w:rPr>
        <w:t xml:space="preserve">% </w:t>
      </w:r>
      <w:r>
        <w:rPr>
          <w:spacing w:val="20"/>
        </w:rPr>
        <w:t>；</w:t>
      </w:r>
      <w:r>
        <w:rPr>
          <w:rFonts w:hint="eastAsia"/>
          <w:spacing w:val="20"/>
          <w:lang w:eastAsia="zh-CN"/>
        </w:rPr>
        <w:t>城乡社区</w:t>
      </w:r>
      <w:r>
        <w:rPr>
          <w:spacing w:val="6"/>
        </w:rPr>
        <w:t>支出较上年</w:t>
      </w:r>
      <w:r>
        <w:rPr>
          <w:rFonts w:hint="eastAsia"/>
          <w:spacing w:val="6"/>
          <w:lang w:eastAsia="zh-CN"/>
        </w:rPr>
        <w:t>减少</w:t>
      </w:r>
      <w:r>
        <w:rPr>
          <w:rFonts w:hint="eastAsia" w:ascii="Times New Roman" w:eastAsia="宋体"/>
          <w:lang w:val="en-US" w:eastAsia="zh-CN"/>
        </w:rPr>
        <w:t>38.31</w:t>
      </w:r>
      <w:r>
        <w:rPr>
          <w:spacing w:val="9"/>
        </w:rPr>
        <w:t>万元，</w:t>
      </w:r>
      <w:r>
        <w:rPr>
          <w:rFonts w:hint="eastAsia"/>
          <w:spacing w:val="9"/>
          <w:lang w:eastAsia="zh-CN"/>
        </w:rPr>
        <w:t>下降</w:t>
      </w:r>
      <w:r>
        <w:rPr>
          <w:rFonts w:hint="eastAsia" w:ascii="Times New Roman" w:eastAsia="宋体"/>
          <w:lang w:val="en-US" w:eastAsia="zh-CN"/>
        </w:rPr>
        <w:t>8.41</w:t>
      </w:r>
      <w:r>
        <w:rPr>
          <w:rFonts w:ascii="Times New Roman" w:eastAsia="Times New Roman"/>
          <w:spacing w:val="-20"/>
        </w:rPr>
        <w:t xml:space="preserve">% </w:t>
      </w:r>
      <w:r>
        <w:rPr>
          <w:spacing w:val="20"/>
        </w:rPr>
        <w:t>；</w:t>
      </w:r>
      <w:r>
        <w:rPr>
          <w:rFonts w:hint="eastAsia"/>
          <w:spacing w:val="20"/>
          <w:lang w:eastAsia="zh-CN"/>
        </w:rPr>
        <w:t>农林水</w:t>
      </w:r>
      <w:r>
        <w:rPr>
          <w:spacing w:val="6"/>
        </w:rPr>
        <w:t>支出较上年</w:t>
      </w:r>
      <w:r>
        <w:rPr>
          <w:rFonts w:hint="eastAsia"/>
          <w:spacing w:val="6"/>
          <w:lang w:eastAsia="zh-CN"/>
        </w:rPr>
        <w:t>减少</w:t>
      </w:r>
      <w:r>
        <w:rPr>
          <w:rFonts w:hint="eastAsia" w:ascii="Times New Roman" w:eastAsia="宋体"/>
          <w:lang w:val="en-US" w:eastAsia="zh-CN"/>
        </w:rPr>
        <w:t>7.01</w:t>
      </w:r>
      <w:r>
        <w:rPr>
          <w:spacing w:val="9"/>
        </w:rPr>
        <w:t>万元，</w:t>
      </w:r>
      <w:r>
        <w:rPr>
          <w:rFonts w:hint="eastAsia"/>
          <w:spacing w:val="9"/>
          <w:lang w:eastAsia="zh-CN"/>
        </w:rPr>
        <w:t>下降</w:t>
      </w:r>
      <w:r>
        <w:rPr>
          <w:rFonts w:hint="eastAsia" w:ascii="Times New Roman" w:eastAsia="宋体"/>
          <w:lang w:val="en-US" w:eastAsia="zh-CN"/>
        </w:rPr>
        <w:t>66.51</w:t>
      </w:r>
      <w:r>
        <w:rPr>
          <w:rFonts w:ascii="Times New Roman" w:eastAsia="Times New Roman"/>
          <w:spacing w:val="-20"/>
        </w:rPr>
        <w:t xml:space="preserve">% </w:t>
      </w:r>
      <w:r>
        <w:rPr>
          <w:rFonts w:hint="eastAsia" w:ascii="Times New Roman" w:eastAsia="宋体"/>
          <w:spacing w:val="-20"/>
          <w:lang w:eastAsia="zh-CN"/>
        </w:rPr>
        <w:t>。</w:t>
      </w:r>
    </w:p>
    <w:p>
      <w:pPr>
        <w:pStyle w:val="3"/>
        <w:spacing w:before="168"/>
        <w:ind w:left="751"/>
        <w:rPr>
          <w:rFonts w:hint="eastAsia" w:ascii="楷体" w:eastAsia="楷体"/>
        </w:rPr>
      </w:pPr>
      <w:r>
        <w:rPr>
          <w:rFonts w:hint="eastAsia" w:ascii="楷体" w:eastAsia="楷体"/>
        </w:rPr>
        <w:t>（二）结构情况</w:t>
      </w:r>
    </w:p>
    <w:p>
      <w:pPr>
        <w:pStyle w:val="3"/>
        <w:spacing w:before="171" w:line="340" w:lineRule="auto"/>
        <w:ind w:left="111" w:right="248" w:firstLine="64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2020 </w:t>
      </w:r>
      <w:r>
        <w:rPr>
          <w:rFonts w:hint="eastAsia" w:ascii="仿宋_GB2312" w:hAnsi="仿宋_GB2312" w:eastAsia="仿宋_GB2312" w:cs="仿宋_GB2312"/>
          <w:spacing w:val="-5"/>
        </w:rPr>
        <w:t>年度一般公共预算财政拨款支出</w:t>
      </w:r>
      <w:r>
        <w:rPr>
          <w:rFonts w:hint="default" w:ascii="Times New Roman" w:hAnsi="Times New Roman" w:eastAsia="仿宋_GB2312" w:cs="Times New Roman"/>
          <w:lang w:val="en-US" w:eastAsia="zh-CN"/>
        </w:rPr>
        <w:t>619.99</w:t>
      </w:r>
      <w:r>
        <w:rPr>
          <w:rFonts w:hint="eastAsia" w:ascii="仿宋_GB2312" w:hAnsi="仿宋_GB2312" w:eastAsia="仿宋_GB2312" w:cs="仿宋_GB2312"/>
        </w:rPr>
        <w:t>万元，主要</w:t>
      </w:r>
      <w:r>
        <w:rPr>
          <w:rFonts w:hint="eastAsia" w:ascii="仿宋_GB2312" w:hAnsi="仿宋_GB2312" w:eastAsia="仿宋_GB2312" w:cs="仿宋_GB2312"/>
          <w:spacing w:val="-7"/>
        </w:rPr>
        <w:t>用于以下方面：</w:t>
      </w:r>
      <w:r>
        <w:rPr>
          <w:rFonts w:hint="eastAsia" w:ascii="仿宋_GB2312" w:hAnsi="仿宋_GB2312" w:eastAsia="仿宋_GB2312" w:cs="仿宋_GB2312"/>
          <w:spacing w:val="-7"/>
          <w:lang w:eastAsia="zh-CN"/>
        </w:rPr>
        <w:t>城乡社区</w:t>
      </w:r>
      <w:r>
        <w:rPr>
          <w:rFonts w:hint="eastAsia" w:ascii="仿宋_GB2312" w:hAnsi="仿宋_GB2312" w:eastAsia="仿宋_GB2312" w:cs="仿宋_GB2312"/>
        </w:rPr>
        <w:t>（类</w:t>
      </w:r>
      <w:r>
        <w:rPr>
          <w:rFonts w:hint="eastAsia" w:ascii="仿宋_GB2312" w:hAnsi="仿宋_GB2312" w:eastAsia="仿宋_GB2312" w:cs="仿宋_GB2312"/>
          <w:spacing w:val="-29"/>
        </w:rPr>
        <w:t>）</w:t>
      </w:r>
      <w:r>
        <w:rPr>
          <w:rFonts w:hint="eastAsia" w:ascii="仿宋_GB2312" w:hAnsi="仿宋_GB2312" w:eastAsia="仿宋_GB2312" w:cs="仿宋_GB2312"/>
          <w:spacing w:val="-27"/>
        </w:rPr>
        <w:t>支出</w:t>
      </w:r>
      <w:r>
        <w:rPr>
          <w:rFonts w:hint="default" w:ascii="Times New Roman" w:hAnsi="Times New Roman" w:eastAsia="仿宋_GB2312" w:cs="Times New Roman"/>
          <w:lang w:val="en-US" w:eastAsia="zh-CN"/>
        </w:rPr>
        <w:t>417.06</w:t>
      </w:r>
      <w:r>
        <w:rPr>
          <w:rFonts w:hint="eastAsia" w:ascii="仿宋_GB2312" w:hAnsi="仿宋_GB2312" w:eastAsia="仿宋_GB2312" w:cs="仿宋_GB2312"/>
          <w:spacing w:val="-23"/>
        </w:rPr>
        <w:t>万元，占</w:t>
      </w:r>
      <w:r>
        <w:rPr>
          <w:rFonts w:hint="default" w:ascii="Times New Roman" w:hAnsi="Times New Roman" w:eastAsia="仿宋_GB2312" w:cs="Times New Roman"/>
          <w:spacing w:val="-5"/>
          <w:lang w:val="en-US" w:eastAsia="zh-CN"/>
        </w:rPr>
        <w:t>67.27</w:t>
      </w:r>
      <w:r>
        <w:rPr>
          <w:rFonts w:hint="default" w:ascii="Times New Roman" w:hAnsi="Times New Roman" w:eastAsia="仿宋_GB2312" w:cs="Times New Roman"/>
          <w:spacing w:val="-5"/>
        </w:rPr>
        <w:t>%</w:t>
      </w:r>
      <w:r>
        <w:rPr>
          <w:rFonts w:hint="eastAsia" w:ascii="仿宋_GB2312" w:hAnsi="仿宋_GB2312" w:eastAsia="仿宋_GB2312" w:cs="仿宋_GB2312"/>
          <w:spacing w:val="-2"/>
        </w:rPr>
        <w:t>；社会保障和就业</w:t>
      </w:r>
      <w:r>
        <w:rPr>
          <w:rFonts w:hint="eastAsia" w:ascii="仿宋_GB2312" w:hAnsi="仿宋_GB2312" w:eastAsia="仿宋_GB2312" w:cs="仿宋_GB2312"/>
          <w:spacing w:val="-2"/>
          <w:lang w:eastAsia="zh-CN"/>
        </w:rPr>
        <w:t>支出</w:t>
      </w:r>
      <w:r>
        <w:rPr>
          <w:rFonts w:hint="eastAsia" w:ascii="仿宋_GB2312" w:hAnsi="仿宋_GB2312" w:eastAsia="仿宋_GB2312" w:cs="仿宋_GB2312"/>
          <w:spacing w:val="-2"/>
        </w:rPr>
        <w:t>（类）</w:t>
      </w:r>
      <w:r>
        <w:rPr>
          <w:rFonts w:hint="eastAsia" w:ascii="仿宋_GB2312" w:hAnsi="仿宋_GB2312" w:eastAsia="仿宋_GB2312" w:cs="仿宋_GB2312"/>
          <w:spacing w:val="-29"/>
        </w:rPr>
        <w:t>支出</w:t>
      </w:r>
      <w:r>
        <w:rPr>
          <w:rFonts w:hint="default" w:ascii="Times New Roman" w:hAnsi="Times New Roman" w:eastAsia="仿宋_GB2312" w:cs="Times New Roman"/>
          <w:lang w:val="en-US" w:eastAsia="zh-CN"/>
        </w:rPr>
        <w:t>116.15</w:t>
      </w:r>
      <w:r>
        <w:rPr>
          <w:rFonts w:hint="eastAsia" w:ascii="仿宋_GB2312" w:hAnsi="仿宋_GB2312" w:eastAsia="仿宋_GB2312" w:cs="仿宋_GB2312"/>
          <w:spacing w:val="-16"/>
        </w:rPr>
        <w:t>万元，占</w:t>
      </w:r>
      <w:r>
        <w:rPr>
          <w:rFonts w:hint="eastAsia" w:ascii="仿宋_GB2312" w:hAnsi="仿宋_GB2312" w:eastAsia="仿宋_GB2312" w:cs="仿宋_GB2312"/>
          <w:spacing w:val="-16"/>
          <w:lang w:val="en-US" w:eastAsia="zh-CN"/>
        </w:rPr>
        <w:t xml:space="preserve"> </w:t>
      </w:r>
      <w:r>
        <w:rPr>
          <w:rFonts w:hint="default" w:ascii="Times New Roman" w:hAnsi="Times New Roman" w:eastAsia="仿宋_GB2312" w:cs="Times New Roman"/>
          <w:lang w:val="en-US" w:eastAsia="zh-CN"/>
        </w:rPr>
        <w:t>18.73</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 xml:space="preserve"> </w:t>
      </w:r>
      <w:r>
        <w:rPr>
          <w:rFonts w:hint="eastAsia" w:ascii="仿宋_GB2312" w:hAnsi="仿宋_GB2312" w:eastAsia="仿宋_GB2312" w:cs="仿宋_GB2312"/>
          <w:lang w:eastAsia="zh-CN"/>
        </w:rPr>
        <w:t>；一般公共服务支出（类）</w:t>
      </w:r>
      <w:r>
        <w:rPr>
          <w:rFonts w:hint="default" w:ascii="Times New Roman" w:hAnsi="Times New Roman" w:eastAsia="仿宋_GB2312" w:cs="Times New Roman"/>
          <w:lang w:val="en-US" w:eastAsia="zh-CN"/>
        </w:rPr>
        <w:t>36.61</w:t>
      </w:r>
      <w:r>
        <w:rPr>
          <w:rFonts w:hint="eastAsia" w:ascii="仿宋_GB2312" w:hAnsi="仿宋_GB2312" w:eastAsia="仿宋_GB2312" w:cs="仿宋_GB2312"/>
          <w:lang w:val="en-US" w:eastAsia="zh-CN"/>
        </w:rPr>
        <w:t>万元，占</w:t>
      </w:r>
      <w:r>
        <w:rPr>
          <w:rFonts w:hint="default" w:ascii="Times New Roman" w:hAnsi="Times New Roman" w:eastAsia="仿宋_GB2312" w:cs="Times New Roman"/>
          <w:lang w:val="en-US" w:eastAsia="zh-CN"/>
        </w:rPr>
        <w:t>5.90</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val="en-US" w:eastAsia="zh-CN"/>
        </w:rPr>
        <w:t>%</w:t>
      </w:r>
      <w:r>
        <w:rPr>
          <w:rFonts w:hint="eastAsia" w:ascii="Times New Roman" w:hAnsi="Times New Roman" w:eastAsia="仿宋_GB2312" w:cs="Times New Roman"/>
          <w:lang w:val="en-US" w:eastAsia="zh-CN"/>
        </w:rPr>
        <w:t xml:space="preserve"> </w:t>
      </w:r>
      <w:r>
        <w:rPr>
          <w:rFonts w:hint="eastAsia" w:ascii="仿宋_GB2312" w:hAnsi="仿宋_GB2312" w:eastAsia="仿宋_GB2312" w:cs="仿宋_GB2312"/>
          <w:lang w:val="en-US" w:eastAsia="zh-CN"/>
        </w:rPr>
        <w:t>；卫生健康支出（类）</w:t>
      </w:r>
      <w:r>
        <w:rPr>
          <w:rFonts w:hint="default" w:ascii="Times New Roman" w:hAnsi="Times New Roman" w:eastAsia="仿宋_GB2312" w:cs="Times New Roman"/>
          <w:lang w:val="en-US" w:eastAsia="zh-CN"/>
        </w:rPr>
        <w:t>26.68</w:t>
      </w:r>
      <w:r>
        <w:rPr>
          <w:rFonts w:hint="eastAsia" w:ascii="仿宋_GB2312" w:hAnsi="仿宋_GB2312" w:eastAsia="仿宋_GB2312" w:cs="仿宋_GB2312"/>
          <w:lang w:val="en-US" w:eastAsia="zh-CN"/>
        </w:rPr>
        <w:t>万元，占</w:t>
      </w:r>
      <w:r>
        <w:rPr>
          <w:rFonts w:hint="default" w:ascii="Times New Roman" w:hAnsi="Times New Roman" w:eastAsia="仿宋_GB2312" w:cs="Times New Roman"/>
          <w:lang w:val="en-US" w:eastAsia="zh-CN"/>
        </w:rPr>
        <w:t>0.04</w:t>
      </w:r>
      <w:r>
        <w:rPr>
          <w:rFonts w:hint="eastAsia" w:ascii="Times New Roman" w:hAnsi="Times New Roman" w:eastAsia="仿宋_GB2312" w:cs="Times New Roman"/>
          <w:lang w:val="en-US" w:eastAsia="zh-CN"/>
        </w:rPr>
        <w:t xml:space="preserve"> </w:t>
      </w:r>
      <w:bookmarkStart w:id="0" w:name="_GoBack"/>
      <w:bookmarkEnd w:id="0"/>
      <w:r>
        <w:rPr>
          <w:rFonts w:hint="default" w:ascii="Times New Roman" w:hAnsi="Times New Roman" w:eastAsia="仿宋_GB2312" w:cs="Times New Roman"/>
          <w:lang w:val="en-US"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p>
    <w:p>
      <w:pPr>
        <w:pStyle w:val="3"/>
        <w:spacing w:line="398" w:lineRule="exact"/>
        <w:ind w:left="751"/>
        <w:rPr>
          <w:rFonts w:hint="eastAsia" w:ascii="楷体" w:eastAsia="楷体"/>
        </w:rPr>
      </w:pPr>
      <w:r>
        <w:rPr>
          <w:rFonts w:hint="eastAsia" w:ascii="楷体" w:eastAsia="楷体"/>
        </w:rPr>
        <w:t>（三）具体情况</w:t>
      </w:r>
    </w:p>
    <w:p>
      <w:pPr>
        <w:pStyle w:val="3"/>
        <w:spacing w:before="171" w:line="338" w:lineRule="auto"/>
        <w:ind w:left="111" w:right="410" w:firstLine="640"/>
        <w:jc w:val="both"/>
      </w:pPr>
      <w:r>
        <w:rPr>
          <w:rFonts w:ascii="Times New Roman" w:eastAsia="Times New Roman"/>
        </w:rPr>
        <w:t>2020</w:t>
      </w:r>
      <w:r>
        <w:rPr>
          <w:rFonts w:ascii="Times New Roman" w:eastAsia="Times New Roman"/>
          <w:spacing w:val="-46"/>
        </w:rPr>
        <w:t xml:space="preserve"> </w:t>
      </w:r>
      <w:r>
        <w:rPr>
          <w:spacing w:val="2"/>
        </w:rPr>
        <w:t>年度一般公共预算财政拨款支出年初预算为</w:t>
      </w:r>
      <w:r>
        <w:rPr>
          <w:rFonts w:hint="eastAsia" w:ascii="Times New Roman" w:eastAsia="宋体"/>
          <w:lang w:val="en-US" w:eastAsia="zh-CN"/>
        </w:rPr>
        <w:t>678.38</w:t>
      </w:r>
      <w:r>
        <w:t>万</w:t>
      </w:r>
      <w:r>
        <w:rPr>
          <w:spacing w:val="3"/>
        </w:rPr>
        <w:t>元，支出决算为</w:t>
      </w:r>
      <w:r>
        <w:rPr>
          <w:rFonts w:hint="default" w:ascii="Times New Roman" w:hAnsi="Times New Roman" w:cs="Times New Roman"/>
          <w:spacing w:val="3"/>
          <w:lang w:val="en-US" w:eastAsia="zh-CN"/>
        </w:rPr>
        <w:t>619.99</w:t>
      </w:r>
      <w:r>
        <w:rPr>
          <w:spacing w:val="-4"/>
        </w:rPr>
        <w:t>万元，完成年初预算的</w:t>
      </w:r>
      <w:r>
        <w:rPr>
          <w:rFonts w:hint="eastAsia" w:ascii="Times New Roman" w:eastAsia="宋体"/>
          <w:lang w:val="en-US" w:eastAsia="zh-CN"/>
        </w:rPr>
        <w:t>91.3</w:t>
      </w:r>
      <w:r>
        <w:rPr>
          <w:rFonts w:ascii="Times New Roman" w:eastAsia="Times New Roman"/>
        </w:rPr>
        <w:t>%</w:t>
      </w:r>
      <w:r>
        <w:rPr>
          <w:spacing w:val="3"/>
        </w:rPr>
        <w:t>。决</w:t>
      </w:r>
      <w:r>
        <w:rPr>
          <w:spacing w:val="-4"/>
        </w:rPr>
        <w:t xml:space="preserve">算数与年初预算数存在差异的主要原因：一是 </w:t>
      </w:r>
      <w:r>
        <w:rPr>
          <w:rFonts w:ascii="Times New Roman" w:eastAsia="Times New Roman"/>
        </w:rPr>
        <w:t>2020</w:t>
      </w:r>
      <w:r>
        <w:rPr>
          <w:rFonts w:ascii="Times New Roman" w:eastAsia="Times New Roman"/>
          <w:spacing w:val="9"/>
        </w:rPr>
        <w:t xml:space="preserve"> </w:t>
      </w:r>
      <w:r>
        <w:t>年新冠肺炎</w:t>
      </w:r>
      <w:r>
        <w:rPr>
          <w:spacing w:val="-11"/>
        </w:rPr>
        <w:t>疫情突发，各级财政加大了疫情防控经费投入；二是专项资金的</w:t>
      </w:r>
      <w:r>
        <w:rPr>
          <w:spacing w:val="-8"/>
          <w:w w:val="95"/>
        </w:rPr>
        <w:t>支出，由</w:t>
      </w:r>
      <w:r>
        <w:rPr>
          <w:rFonts w:hint="eastAsia"/>
          <w:spacing w:val="-8"/>
          <w:w w:val="95"/>
          <w:lang w:eastAsia="zh-CN"/>
        </w:rPr>
        <w:t>区</w:t>
      </w:r>
      <w:r>
        <w:rPr>
          <w:spacing w:val="-8"/>
          <w:w w:val="95"/>
        </w:rPr>
        <w:t>财政局下达至</w:t>
      </w:r>
      <w:r>
        <w:rPr>
          <w:rFonts w:hint="eastAsia"/>
          <w:spacing w:val="-8"/>
          <w:w w:val="95"/>
          <w:lang w:eastAsia="zh-CN"/>
        </w:rPr>
        <w:t>我单位</w:t>
      </w:r>
      <w:r>
        <w:rPr>
          <w:spacing w:val="-8"/>
        </w:rPr>
        <w:t>。其中：</w:t>
      </w:r>
    </w:p>
    <w:p>
      <w:pPr>
        <w:keepNext w:val="0"/>
        <w:keepLines w:val="0"/>
        <w:pageBreakBefore w:val="0"/>
        <w:widowControl w:val="0"/>
        <w:kinsoku/>
        <w:wordWrap/>
        <w:overflowPunct/>
        <w:topLinePunct w:val="0"/>
        <w:autoSpaceDE w:val="0"/>
        <w:autoSpaceDN w:val="0"/>
        <w:bidi w:val="0"/>
        <w:adjustRightInd/>
        <w:snapToGrid/>
        <w:spacing w:line="360" w:lineRule="auto"/>
        <w:ind w:firstLine="423" w:firstLineChars="150"/>
        <w:textAlignment w:val="auto"/>
        <w:rPr>
          <w:rFonts w:ascii="仿宋" w:hAnsi="仿宋" w:eastAsia="仿宋" w:cs="仿宋"/>
          <w:color w:val="auto"/>
          <w:spacing w:val="-19"/>
          <w:sz w:val="32"/>
          <w:szCs w:val="22"/>
          <w:highlight w:val="none"/>
          <w:lang w:val="zh-CN" w:eastAsia="zh-CN" w:bidi="zh-CN"/>
        </w:rPr>
      </w:pP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1．一般公共服务支出（类）政府办公厅（室）及相关机构事务（款）信访事务（项）。年初预算为</w:t>
      </w:r>
      <w:r>
        <w:rPr>
          <w:rFonts w:hint="eastAsia" w:ascii="Times New Roman" w:hAnsi="仿宋" w:eastAsia="Times New Roman" w:cs="仿宋"/>
          <w:sz w:val="32"/>
          <w:szCs w:val="32"/>
          <w:lang w:val="en-US" w:eastAsia="zh-CN" w:bidi="zh-CN"/>
        </w:rPr>
        <w:t>5.84</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万元，支出决算为</w:t>
      </w:r>
      <w:r>
        <w:rPr>
          <w:rFonts w:hint="eastAsia" w:ascii="Times New Roman" w:hAnsi="仿宋" w:eastAsia="Times New Roman" w:cs="仿宋"/>
          <w:sz w:val="32"/>
          <w:szCs w:val="32"/>
          <w:lang w:val="en-US" w:eastAsia="zh-CN" w:bidi="zh-CN"/>
        </w:rPr>
        <w:t>5.51</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万元，完成年</w:t>
      </w:r>
      <w:r>
        <w:rPr>
          <w:rFonts w:hint="eastAsia" w:ascii="仿宋" w:hAnsi="仿宋" w:eastAsia="仿宋" w:cs="仿宋"/>
          <w:color w:val="auto"/>
          <w:spacing w:val="-19"/>
          <w:sz w:val="32"/>
          <w:szCs w:val="22"/>
          <w:highlight w:val="none"/>
          <w:lang w:val="zh-CN" w:eastAsia="zh-CN" w:bidi="zh-CN"/>
        </w:rPr>
        <w:t>初预算的</w:t>
      </w:r>
      <w:r>
        <w:rPr>
          <w:rFonts w:hint="eastAsia" w:ascii="Times New Roman" w:hAnsi="仿宋" w:eastAsia="Times New Roman" w:cs="仿宋"/>
          <w:color w:val="auto"/>
          <w:sz w:val="32"/>
          <w:szCs w:val="32"/>
          <w:lang w:val="en-US" w:eastAsia="zh-CN" w:bidi="zh-CN"/>
        </w:rPr>
        <w:t>94.35</w:t>
      </w:r>
      <w:r>
        <w:rPr>
          <w:rFonts w:hint="eastAsia" w:ascii="仿宋" w:hAnsi="仿宋" w:eastAsia="仿宋" w:cs="仿宋"/>
          <w:color w:val="auto"/>
          <w:spacing w:val="-19"/>
          <w:sz w:val="32"/>
          <w:szCs w:val="22"/>
          <w:highlight w:val="none"/>
          <w:lang w:val="zh-CN" w:eastAsia="zh-CN" w:bidi="zh-CN"/>
        </w:rPr>
        <w:t>%。决算数与年初预算数存在差异的主要原因是 :信访事务支出减少。</w:t>
      </w:r>
    </w:p>
    <w:p>
      <w:pPr>
        <w:keepNext w:val="0"/>
        <w:keepLines w:val="0"/>
        <w:pageBreakBefore w:val="0"/>
        <w:kinsoku/>
        <w:wordWrap/>
        <w:overflowPunct/>
        <w:topLinePunct w:val="0"/>
        <w:autoSpaceDE w:val="0"/>
        <w:autoSpaceDN w:val="0"/>
        <w:bidi w:val="0"/>
        <w:adjustRightInd/>
        <w:snapToGrid/>
        <w:spacing w:line="360" w:lineRule="auto"/>
        <w:ind w:firstLine="423" w:firstLineChars="150"/>
        <w:textAlignment w:val="auto"/>
        <w:rPr>
          <w:rFonts w:hint="eastAsia" w:ascii="仿宋" w:hAnsi="仿宋" w:eastAsia="仿宋" w:cs="仿宋"/>
          <w:spacing w:val="-19"/>
          <w:sz w:val="32"/>
          <w:szCs w:val="22"/>
          <w:highlight w:val="yellow"/>
          <w:lang w:val="zh-CN" w:eastAsia="zh-CN" w:bidi="zh-CN"/>
        </w:rPr>
      </w:pP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一般公共服务支出（类）其他一般公共服务支出（款）其他一般公共服务支出（项）。年初预算为</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30.76</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万元，支出决算为</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29.01</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万元，完成年初预算的</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94.31</w:t>
      </w:r>
      <w:r>
        <w:rPr>
          <w:rFonts w:hint="default" w:ascii="Times New Roman" w:hAnsi="Times New Roman" w:eastAsia="仿宋" w:cs="Times New Roman"/>
          <w:color w:val="000000" w:themeColor="text1"/>
          <w:spacing w:val="-19"/>
          <w:sz w:val="32"/>
          <w:szCs w:val="22"/>
          <w:highlight w:val="none"/>
          <w:lang w:val="zh-CN" w:eastAsia="zh-CN" w:bidi="zh-CN"/>
          <w14:textFill>
            <w14:solidFill>
              <w14:schemeClr w14:val="tx1"/>
            </w14:solidFill>
          </w14:textFill>
        </w:rPr>
        <w:t xml:space="preserve"> %</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。决算数与年初预算数存在差异的主要原因是：其他一般公共</w:t>
      </w:r>
      <w:r>
        <w:rPr>
          <w:rFonts w:hint="eastAsia" w:ascii="仿宋" w:hAnsi="仿宋" w:eastAsia="仿宋" w:cs="仿宋"/>
          <w:color w:val="auto"/>
          <w:spacing w:val="-19"/>
          <w:sz w:val="32"/>
          <w:szCs w:val="22"/>
          <w:highlight w:val="none"/>
          <w:lang w:val="zh-CN" w:eastAsia="zh-CN" w:bidi="zh-CN"/>
        </w:rPr>
        <w:t>服务支出减少。</w:t>
      </w:r>
    </w:p>
    <w:p>
      <w:pPr>
        <w:keepNext w:val="0"/>
        <w:keepLines w:val="0"/>
        <w:pageBreakBefore w:val="0"/>
        <w:kinsoku/>
        <w:wordWrap/>
        <w:overflowPunct/>
        <w:topLinePunct w:val="0"/>
        <w:autoSpaceDE w:val="0"/>
        <w:autoSpaceDN w:val="0"/>
        <w:bidi w:val="0"/>
        <w:adjustRightInd/>
        <w:snapToGrid/>
        <w:spacing w:line="360" w:lineRule="auto"/>
        <w:ind w:firstLine="423" w:firstLineChars="150"/>
        <w:textAlignment w:val="auto"/>
        <w:rPr>
          <w:rFonts w:hint="eastAsia" w:ascii="仿宋" w:hAnsi="仿宋" w:eastAsia="仿宋" w:cs="仿宋"/>
          <w:color w:val="auto"/>
          <w:spacing w:val="-19"/>
          <w:sz w:val="32"/>
          <w:szCs w:val="22"/>
          <w:highlight w:val="yellow"/>
          <w:lang w:val="zh-CN" w:eastAsia="zh-CN" w:bidi="zh-CN"/>
        </w:rPr>
      </w:pP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一般公共服务支出（类）其他共产党事务支出（款）其他共产党事务支出（项）。年初预算为</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2.23</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万元，支出决算为</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2.1</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万元，完成年初预算的</w:t>
      </w:r>
      <w:r>
        <w:rPr>
          <w:rFonts w:hint="default"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94.17</w:t>
      </w:r>
      <w:r>
        <w:rPr>
          <w:rFonts w:hint="eastAsia" w:ascii="Times New Roman" w:hAnsi="Times New Roman" w:eastAsia="仿宋" w:cs="Times New Roman"/>
          <w:color w:val="000000" w:themeColor="text1"/>
          <w:spacing w:val="-19"/>
          <w:sz w:val="32"/>
          <w:szCs w:val="22"/>
          <w:highlight w:val="none"/>
          <w:lang w:val="en-US" w:eastAsia="zh-CN" w:bidi="zh-CN"/>
          <w14:textFill>
            <w14:solidFill>
              <w14:schemeClr w14:val="tx1"/>
            </w14:solidFill>
          </w14:textFill>
        </w:rPr>
        <w:t xml:space="preserve"> </w:t>
      </w:r>
      <w:r>
        <w:rPr>
          <w:rFonts w:hint="default" w:ascii="Times New Roman" w:hAnsi="Times New Roman" w:eastAsia="仿宋" w:cs="Times New Roman"/>
          <w:color w:val="000000" w:themeColor="text1"/>
          <w:spacing w:val="-19"/>
          <w:sz w:val="32"/>
          <w:szCs w:val="22"/>
          <w:highlight w:val="none"/>
          <w:lang w:val="zh-CN" w:eastAsia="zh-CN" w:bidi="zh-CN"/>
          <w14:textFill>
            <w14:solidFill>
              <w14:schemeClr w14:val="tx1"/>
            </w14:solidFill>
          </w14:textFill>
        </w:rPr>
        <w:t>%</w:t>
      </w:r>
      <w:r>
        <w:rPr>
          <w:rFonts w:hint="eastAsia" w:ascii="仿宋" w:hAnsi="仿宋" w:eastAsia="仿宋" w:cs="仿宋"/>
          <w:color w:val="000000" w:themeColor="text1"/>
          <w:spacing w:val="-19"/>
          <w:sz w:val="32"/>
          <w:szCs w:val="22"/>
          <w:highlight w:val="none"/>
          <w:lang w:val="zh-CN" w:eastAsia="zh-CN" w:bidi="zh-CN"/>
          <w14:textFill>
            <w14:solidFill>
              <w14:schemeClr w14:val="tx1"/>
            </w14:solidFill>
          </w14:textFill>
        </w:rPr>
        <w:t>。决算数与年初预算数存在差异的主要原</w:t>
      </w:r>
      <w:r>
        <w:rPr>
          <w:rFonts w:hint="eastAsia" w:ascii="仿宋" w:hAnsi="仿宋" w:eastAsia="仿宋" w:cs="仿宋"/>
          <w:color w:val="auto"/>
          <w:spacing w:val="-19"/>
          <w:sz w:val="32"/>
          <w:szCs w:val="22"/>
          <w:highlight w:val="none"/>
          <w:lang w:val="zh-CN" w:eastAsia="zh-CN" w:bidi="zh-CN"/>
        </w:rPr>
        <w:t>因是 :其他共产党事务支出减少。</w:t>
      </w:r>
    </w:p>
    <w:p>
      <w:pPr>
        <w:keepNext w:val="0"/>
        <w:keepLines w:val="0"/>
        <w:pageBreakBefore w:val="0"/>
        <w:kinsoku/>
        <w:wordWrap/>
        <w:overflowPunct/>
        <w:topLinePunct w:val="0"/>
        <w:autoSpaceDE w:val="0"/>
        <w:autoSpaceDN w:val="0"/>
        <w:bidi w:val="0"/>
        <w:adjustRightInd/>
        <w:snapToGrid/>
        <w:spacing w:line="360" w:lineRule="auto"/>
        <w:ind w:firstLine="423" w:firstLineChars="150"/>
        <w:textAlignment w:val="auto"/>
        <w:rPr>
          <w:rFonts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shd w:val="clear" w:color="auto" w:fill="auto"/>
          <w:lang w:val="en-US" w:eastAsia="zh-CN" w:bidi="zh-CN"/>
        </w:rPr>
        <w:t>2.</w:t>
      </w:r>
      <w:r>
        <w:rPr>
          <w:rFonts w:hint="eastAsia" w:ascii="仿宋" w:hAnsi="仿宋" w:eastAsia="仿宋" w:cs="仿宋"/>
          <w:color w:val="auto"/>
          <w:spacing w:val="-19"/>
          <w:sz w:val="32"/>
          <w:szCs w:val="22"/>
          <w:highlight w:val="none"/>
          <w:shd w:val="clear" w:color="auto" w:fill="auto"/>
          <w:lang w:val="zh-CN" w:eastAsia="zh-CN" w:bidi="zh-CN"/>
        </w:rPr>
        <w:t>文化旅游体育与传媒支出（类）文化和旅游（款）其他文化和旅游支出（项）。年初预算为</w:t>
      </w:r>
      <w:r>
        <w:rPr>
          <w:rFonts w:hint="default" w:ascii="Times New Roman" w:hAnsi="Times New Roman" w:eastAsia="仿宋" w:cs="Times New Roman"/>
          <w:color w:val="auto"/>
          <w:spacing w:val="-19"/>
          <w:sz w:val="32"/>
          <w:szCs w:val="22"/>
          <w:highlight w:val="none"/>
          <w:shd w:val="clear" w:color="auto" w:fill="auto"/>
          <w:lang w:val="en-US" w:eastAsia="zh-CN" w:bidi="zh-CN"/>
        </w:rPr>
        <w:t>5</w:t>
      </w:r>
      <w:r>
        <w:rPr>
          <w:rFonts w:hint="eastAsia" w:ascii="仿宋" w:hAnsi="仿宋" w:eastAsia="仿宋" w:cs="仿宋"/>
          <w:color w:val="auto"/>
          <w:spacing w:val="-19"/>
          <w:sz w:val="32"/>
          <w:szCs w:val="22"/>
          <w:highlight w:val="none"/>
          <w:shd w:val="clear" w:color="auto" w:fill="auto"/>
          <w:lang w:val="zh-CN" w:eastAsia="zh-CN" w:bidi="zh-CN"/>
        </w:rPr>
        <w:t>万元，支出决算为</w:t>
      </w:r>
      <w:r>
        <w:rPr>
          <w:rFonts w:hint="default" w:ascii="Times New Roman" w:hAnsi="Times New Roman" w:eastAsia="仿宋" w:cs="Times New Roman"/>
          <w:color w:val="auto"/>
          <w:spacing w:val="-19"/>
          <w:sz w:val="32"/>
          <w:szCs w:val="22"/>
          <w:highlight w:val="none"/>
          <w:shd w:val="clear" w:color="auto" w:fill="auto"/>
          <w:lang w:val="en-US" w:eastAsia="zh-CN" w:bidi="zh-CN"/>
        </w:rPr>
        <w:t>2.54</w:t>
      </w:r>
      <w:r>
        <w:rPr>
          <w:rFonts w:hint="eastAsia" w:ascii="仿宋" w:hAnsi="仿宋" w:eastAsia="仿宋" w:cs="仿宋"/>
          <w:color w:val="auto"/>
          <w:spacing w:val="-19"/>
          <w:sz w:val="32"/>
          <w:szCs w:val="22"/>
          <w:highlight w:val="none"/>
          <w:shd w:val="clear" w:color="auto" w:fill="auto"/>
          <w:lang w:val="zh-CN" w:eastAsia="zh-CN" w:bidi="zh-CN"/>
        </w:rPr>
        <w:t>万元，完成年初预算的</w:t>
      </w:r>
      <w:r>
        <w:rPr>
          <w:rFonts w:hint="default" w:ascii="Times New Roman" w:hAnsi="Times New Roman" w:eastAsia="仿宋" w:cs="Times New Roman"/>
          <w:color w:val="auto"/>
          <w:spacing w:val="-19"/>
          <w:sz w:val="32"/>
          <w:szCs w:val="22"/>
          <w:highlight w:val="none"/>
          <w:shd w:val="clear" w:color="auto" w:fill="auto"/>
          <w:lang w:val="en-US" w:eastAsia="zh-CN" w:bidi="zh-CN"/>
        </w:rPr>
        <w:t>50.8</w:t>
      </w:r>
      <w:r>
        <w:rPr>
          <w:rFonts w:hint="eastAsia" w:ascii="Times New Roman" w:hAnsi="Times New Roman" w:eastAsia="仿宋" w:cs="Times New Roman"/>
          <w:color w:val="auto"/>
          <w:spacing w:val="-19"/>
          <w:sz w:val="32"/>
          <w:szCs w:val="22"/>
          <w:highlight w:val="none"/>
          <w:shd w:val="clear" w:color="auto" w:fill="auto"/>
          <w:lang w:val="en-US" w:eastAsia="zh-CN" w:bidi="zh-CN"/>
        </w:rPr>
        <w:t xml:space="preserve"> </w:t>
      </w:r>
      <w:r>
        <w:rPr>
          <w:rFonts w:hint="default" w:ascii="Times New Roman" w:hAnsi="Times New Roman" w:eastAsia="仿宋" w:cs="Times New Roman"/>
          <w:color w:val="auto"/>
          <w:spacing w:val="-19"/>
          <w:sz w:val="32"/>
          <w:szCs w:val="22"/>
          <w:highlight w:val="none"/>
          <w:shd w:val="clear" w:color="auto" w:fill="auto"/>
          <w:lang w:val="zh-CN" w:eastAsia="zh-CN" w:bidi="zh-CN"/>
        </w:rPr>
        <w:t>%</w:t>
      </w:r>
      <w:r>
        <w:rPr>
          <w:rFonts w:hint="eastAsia" w:ascii="仿宋" w:hAnsi="仿宋" w:eastAsia="仿宋" w:cs="仿宋"/>
          <w:color w:val="auto"/>
          <w:spacing w:val="-19"/>
          <w:sz w:val="32"/>
          <w:szCs w:val="22"/>
          <w:highlight w:val="none"/>
          <w:shd w:val="clear" w:color="auto" w:fill="auto"/>
          <w:lang w:val="zh-CN" w:eastAsia="zh-CN" w:bidi="zh-CN"/>
        </w:rPr>
        <w:t>。决算数与年初预算数存在差异的主要原因是：</w:t>
      </w:r>
      <w:r>
        <w:rPr>
          <w:rFonts w:hint="eastAsia" w:ascii="仿宋" w:hAnsi="仿宋" w:eastAsia="仿宋" w:cs="仿宋"/>
          <w:color w:val="auto"/>
          <w:spacing w:val="-19"/>
          <w:sz w:val="32"/>
          <w:szCs w:val="22"/>
          <w:highlight w:val="none"/>
          <w:lang w:val="zh-CN" w:eastAsia="zh-CN" w:bidi="zh-CN"/>
        </w:rPr>
        <w:t>其他文化支出减少。</w:t>
      </w:r>
    </w:p>
    <w:p>
      <w:pPr>
        <w:keepNext w:val="0"/>
        <w:keepLines w:val="0"/>
        <w:pageBreakBefore w:val="0"/>
        <w:widowControl/>
        <w:kinsoku/>
        <w:wordWrap/>
        <w:overflowPunct/>
        <w:topLinePunct w:val="0"/>
        <w:autoSpaceDE w:val="0"/>
        <w:autoSpaceDN w:val="0"/>
        <w:bidi w:val="0"/>
        <w:adjustRightInd/>
        <w:snapToGrid/>
        <w:spacing w:line="360" w:lineRule="auto"/>
        <w:ind w:firstLine="423" w:firstLineChars="150"/>
        <w:textAlignment w:val="auto"/>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en-US" w:eastAsia="zh-CN" w:bidi="zh-CN"/>
        </w:rPr>
        <w:t>3</w:t>
      </w:r>
      <w:r>
        <w:rPr>
          <w:rFonts w:hint="eastAsia" w:ascii="仿宋" w:hAnsi="仿宋" w:eastAsia="仿宋" w:cs="仿宋"/>
          <w:color w:val="auto"/>
          <w:spacing w:val="-19"/>
          <w:sz w:val="32"/>
          <w:szCs w:val="22"/>
          <w:highlight w:val="none"/>
          <w:lang w:val="zh-CN" w:eastAsia="zh-CN" w:bidi="zh-CN"/>
        </w:rPr>
        <w:t>.社会保障和就业支出（类）民政管理事务（款）基层政权和社区治理（项）年初预算为</w:t>
      </w:r>
      <w:r>
        <w:rPr>
          <w:rFonts w:hint="default" w:ascii="Times New Roman" w:hAnsi="Times New Roman" w:eastAsia="仿宋" w:cs="Times New Roman"/>
          <w:color w:val="auto"/>
          <w:spacing w:val="-19"/>
          <w:sz w:val="32"/>
          <w:szCs w:val="22"/>
          <w:highlight w:val="none"/>
          <w:lang w:val="en-US" w:eastAsia="zh-CN" w:bidi="zh-CN"/>
        </w:rPr>
        <w:t>59.01</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62.07</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105</w:t>
      </w:r>
      <w:r>
        <w:rPr>
          <w:rFonts w:hint="default" w:ascii="Times New Roman" w:hAnsi="Times New Roman" w:eastAsia="仿宋" w:cs="Times New Roman"/>
          <w:color w:val="auto"/>
          <w:spacing w:val="-19"/>
          <w:sz w:val="32"/>
          <w:szCs w:val="22"/>
          <w:highlight w:val="none"/>
          <w:lang w:val="zh-CN" w:eastAsia="zh-CN" w:bidi="zh-CN"/>
        </w:rPr>
        <w:t xml:space="preserve"> %</w:t>
      </w:r>
      <w:r>
        <w:rPr>
          <w:rFonts w:hint="eastAsia" w:ascii="仿宋" w:hAnsi="仿宋" w:eastAsia="仿宋" w:cs="仿宋"/>
          <w:color w:val="auto"/>
          <w:spacing w:val="-19"/>
          <w:sz w:val="32"/>
          <w:szCs w:val="22"/>
          <w:highlight w:val="none"/>
          <w:lang w:val="zh-CN" w:eastAsia="zh-CN" w:bidi="zh-CN"/>
        </w:rPr>
        <w:t>。决算数与年初预算数存在差异的主要原因是：民政管理事务支出增加 。</w:t>
      </w:r>
    </w:p>
    <w:p>
      <w:pPr>
        <w:widowControl/>
        <w:spacing w:line="590" w:lineRule="exact"/>
        <w:ind w:firstLine="564" w:firstLineChars="200"/>
        <w:rPr>
          <w:rFonts w:hint="eastAsia" w:ascii="仿宋" w:hAnsi="仿宋" w:eastAsia="仿宋" w:cs="仿宋"/>
          <w:color w:val="FF0000"/>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社会保障和就业支出（类）行政事业单位养老支出（款）机关事业单位基本养老保险缴费支出（项）年初预算为</w:t>
      </w:r>
      <w:r>
        <w:rPr>
          <w:rFonts w:hint="default" w:ascii="Times New Roman" w:hAnsi="Times New Roman" w:eastAsia="仿宋" w:cs="Times New Roman"/>
          <w:color w:val="auto"/>
          <w:spacing w:val="-19"/>
          <w:sz w:val="32"/>
          <w:szCs w:val="22"/>
          <w:highlight w:val="none"/>
          <w:lang w:val="en-US" w:eastAsia="zh-CN" w:bidi="zh-CN"/>
        </w:rPr>
        <w:t>22.20</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23.34</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105</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。决算数与年初预算数存在差异的主要原因是：机关事业单位基本养老保险缴费支出增加 。</w:t>
      </w:r>
    </w:p>
    <w:p>
      <w:pPr>
        <w:widowControl/>
        <w:spacing w:line="590" w:lineRule="exact"/>
        <w:ind w:firstLine="564" w:firstLineChars="200"/>
        <w:rPr>
          <w:rFonts w:hint="eastAsia" w:ascii="仿宋" w:hAnsi="仿宋" w:eastAsia="仿宋" w:cs="仿宋"/>
          <w:color w:val="FF0000"/>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社会保障和就业支出（类）行政事业单位养老支出（款）机关事业单位职业年金缴费支出（项）年初预算为</w:t>
      </w:r>
      <w:r>
        <w:rPr>
          <w:rFonts w:hint="default" w:ascii="Times New Roman" w:hAnsi="Times New Roman" w:eastAsia="仿宋" w:cs="Times New Roman"/>
          <w:color w:val="auto"/>
          <w:spacing w:val="-19"/>
          <w:sz w:val="32"/>
          <w:szCs w:val="22"/>
          <w:highlight w:val="none"/>
          <w:lang w:val="en-US" w:eastAsia="zh-CN" w:bidi="zh-CN"/>
        </w:rPr>
        <w:t>4.87</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5.12</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105</w:t>
      </w:r>
      <w:r>
        <w:rPr>
          <w:rFonts w:hint="default" w:ascii="Times New Roman" w:hAnsi="Times New Roman" w:eastAsia="仿宋" w:cs="Times New Roman"/>
          <w:color w:val="auto"/>
          <w:spacing w:val="-19"/>
          <w:sz w:val="32"/>
          <w:szCs w:val="22"/>
          <w:highlight w:val="none"/>
          <w:lang w:val="zh-CN" w:eastAsia="zh-CN" w:bidi="zh-CN"/>
        </w:rPr>
        <w:t xml:space="preserve"> %</w:t>
      </w:r>
      <w:r>
        <w:rPr>
          <w:rFonts w:hint="eastAsia" w:ascii="仿宋" w:hAnsi="仿宋" w:eastAsia="仿宋" w:cs="仿宋"/>
          <w:color w:val="auto"/>
          <w:spacing w:val="-19"/>
          <w:sz w:val="32"/>
          <w:szCs w:val="22"/>
          <w:highlight w:val="none"/>
          <w:lang w:val="zh-CN" w:eastAsia="zh-CN" w:bidi="zh-CN"/>
        </w:rPr>
        <w:t>。决算数与年初预算数存在差异的主要原因是：机关事业单位职业年金缴费支出增加 。</w:t>
      </w:r>
    </w:p>
    <w:p>
      <w:pPr>
        <w:widowControl/>
        <w:spacing w:line="590" w:lineRule="exact"/>
        <w:ind w:firstLine="564" w:firstLineChars="200"/>
        <w:rPr>
          <w:rFonts w:hint="eastAsia" w:ascii="仿宋" w:hAnsi="仿宋" w:eastAsia="仿宋" w:cs="仿宋"/>
          <w:color w:val="FF0000"/>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社会保障和就业支出（类）行政事业单位养老支出（款）其他行政事业单位养老支出（项）年初预算为</w:t>
      </w:r>
      <w:r>
        <w:rPr>
          <w:rFonts w:hint="default" w:ascii="Times New Roman" w:hAnsi="Times New Roman" w:eastAsia="仿宋" w:cs="Times New Roman"/>
          <w:color w:val="auto"/>
          <w:spacing w:val="-19"/>
          <w:sz w:val="32"/>
          <w:szCs w:val="22"/>
          <w:highlight w:val="none"/>
          <w:lang w:val="en-US" w:eastAsia="zh-CN" w:bidi="zh-CN"/>
        </w:rPr>
        <w:t>10.08</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10.60</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105</w:t>
      </w:r>
      <w:r>
        <w:rPr>
          <w:rFonts w:hint="default" w:ascii="Times New Roman" w:hAnsi="Times New Roman" w:eastAsia="仿宋" w:cs="Times New Roman"/>
          <w:color w:val="auto"/>
          <w:spacing w:val="-19"/>
          <w:sz w:val="32"/>
          <w:szCs w:val="22"/>
          <w:highlight w:val="none"/>
          <w:lang w:val="zh-CN" w:eastAsia="zh-CN" w:bidi="zh-CN"/>
        </w:rPr>
        <w:t xml:space="preserve"> %</w:t>
      </w:r>
      <w:r>
        <w:rPr>
          <w:rFonts w:hint="eastAsia" w:ascii="仿宋" w:hAnsi="仿宋" w:eastAsia="仿宋" w:cs="仿宋"/>
          <w:color w:val="auto"/>
          <w:spacing w:val="-19"/>
          <w:sz w:val="32"/>
          <w:szCs w:val="22"/>
          <w:highlight w:val="none"/>
          <w:lang w:val="zh-CN" w:eastAsia="zh-CN" w:bidi="zh-CN"/>
        </w:rPr>
        <w:t>。决算数与年初预算数存在差异的主要原因是：其他行政事业单位离退休支出增加。</w:t>
      </w:r>
    </w:p>
    <w:p>
      <w:pPr>
        <w:widowControl/>
        <w:spacing w:line="590" w:lineRule="exact"/>
        <w:ind w:firstLine="564" w:firstLineChars="200"/>
        <w:rPr>
          <w:rFonts w:hint="eastAsia" w:ascii="仿宋" w:hAnsi="仿宋" w:eastAsia="仿宋" w:cs="仿宋"/>
          <w:color w:val="FF0000"/>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社会保障和就业支出（类）就业补助（款）公益性岗位补贴（项）年初预算为</w:t>
      </w:r>
      <w:r>
        <w:rPr>
          <w:rFonts w:hint="default" w:ascii="Times New Roman" w:hAnsi="Times New Roman" w:eastAsia="仿宋" w:cs="Times New Roman"/>
          <w:color w:val="auto"/>
          <w:spacing w:val="-19"/>
          <w:sz w:val="32"/>
          <w:szCs w:val="22"/>
          <w:highlight w:val="none"/>
          <w:lang w:val="en-US" w:eastAsia="zh-CN" w:bidi="zh-CN"/>
        </w:rPr>
        <w:t>13.54</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14.24</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105</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。决算数与年初预算数存在差异的主要原因是：上级拨付公益性岗位补贴支出增加 。</w:t>
      </w:r>
    </w:p>
    <w:p>
      <w:pPr>
        <w:widowControl/>
        <w:spacing w:line="590" w:lineRule="exact"/>
        <w:ind w:firstLine="564" w:firstLineChars="200"/>
        <w:rPr>
          <w:rFonts w:hint="eastAsia" w:ascii="仿宋" w:hAnsi="仿宋" w:eastAsia="仿宋" w:cs="仿宋"/>
          <w:color w:val="auto"/>
          <w:spacing w:val="-19"/>
          <w:sz w:val="32"/>
          <w:szCs w:val="22"/>
          <w:highlight w:val="yellow"/>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社会保障和就业支出（类）抚恤（款）在乡复员、退伍军人生活补助（项）年初预算为</w:t>
      </w:r>
      <w:r>
        <w:rPr>
          <w:rFonts w:hint="default" w:ascii="Times New Roman" w:hAnsi="Times New Roman" w:eastAsia="仿宋" w:cs="Times New Roman"/>
          <w:color w:val="auto"/>
          <w:spacing w:val="-19"/>
          <w:sz w:val="32"/>
          <w:szCs w:val="22"/>
          <w:highlight w:val="none"/>
          <w:lang w:val="en-US" w:eastAsia="zh-CN" w:bidi="zh-CN"/>
        </w:rPr>
        <w:t>0.67</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0.7</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104</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。决算数与年初预算数存在差异的主要原因是：在乡复员、退伍军人生活补助支出增加 。</w:t>
      </w:r>
    </w:p>
    <w:p>
      <w:pPr>
        <w:widowControl/>
        <w:spacing w:line="590" w:lineRule="exact"/>
        <w:ind w:firstLine="564" w:firstLineChars="200"/>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社会保障和就业支出（类）退役安置（款）退役士兵安置（项）年初预算为</w:t>
      </w:r>
      <w:r>
        <w:rPr>
          <w:rFonts w:hint="default" w:ascii="Times New Roman" w:hAnsi="Times New Roman" w:eastAsia="仿宋" w:cs="Times New Roman"/>
          <w:color w:val="auto"/>
          <w:spacing w:val="-19"/>
          <w:sz w:val="32"/>
          <w:szCs w:val="22"/>
          <w:highlight w:val="none"/>
          <w:lang w:val="en-US" w:eastAsia="zh-CN" w:bidi="zh-CN"/>
        </w:rPr>
        <w:t>0.07</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0.07</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100</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。决算数与年初预算数不存在差异。</w:t>
      </w:r>
    </w:p>
    <w:p>
      <w:pPr>
        <w:widowControl/>
        <w:spacing w:line="590" w:lineRule="exact"/>
        <w:ind w:firstLine="564" w:firstLineChars="200"/>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en-US" w:eastAsia="zh-CN" w:bidi="zh-CN"/>
        </w:rPr>
        <w:t>4.</w:t>
      </w:r>
      <w:r>
        <w:rPr>
          <w:rFonts w:hint="eastAsia" w:ascii="仿宋" w:hAnsi="仿宋" w:eastAsia="仿宋" w:cs="仿宋"/>
          <w:color w:val="auto"/>
          <w:spacing w:val="-19"/>
          <w:sz w:val="32"/>
          <w:szCs w:val="22"/>
          <w:highlight w:val="none"/>
          <w:lang w:val="zh-CN" w:eastAsia="zh-CN" w:bidi="zh-CN"/>
        </w:rPr>
        <w:t>卫生健康支出（类）公共卫生（款）突发公共卫生事件应急处理（项）。年初预算为</w:t>
      </w:r>
      <w:r>
        <w:rPr>
          <w:rFonts w:hint="default" w:ascii="Times New Roman" w:hAnsi="Times New Roman" w:eastAsia="仿宋" w:cs="Times New Roman"/>
          <w:color w:val="auto"/>
          <w:spacing w:val="-19"/>
          <w:sz w:val="32"/>
          <w:szCs w:val="22"/>
          <w:highlight w:val="none"/>
          <w:lang w:val="en-US" w:eastAsia="zh-CN" w:bidi="zh-CN"/>
        </w:rPr>
        <w:t>7.86</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7.09</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90.20</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 xml:space="preserve">。决算数与年初预算数存在差异的主要原因是：突发公共卫生事件应急处理支出减少。  </w:t>
      </w:r>
    </w:p>
    <w:p>
      <w:pPr>
        <w:widowControl/>
        <w:spacing w:line="590" w:lineRule="exact"/>
        <w:ind w:firstLine="564" w:firstLineChars="200"/>
        <w:rPr>
          <w:rFonts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卫生健康支出（类）行政事业单位医疗（款）行政单位医疗（项）。年初预算为</w:t>
      </w:r>
      <w:r>
        <w:rPr>
          <w:rFonts w:hint="default" w:ascii="Times New Roman" w:hAnsi="Times New Roman" w:eastAsia="仿宋" w:cs="Times New Roman"/>
          <w:color w:val="auto"/>
          <w:spacing w:val="-19"/>
          <w:sz w:val="32"/>
          <w:szCs w:val="22"/>
          <w:highlight w:val="none"/>
          <w:lang w:val="en-US" w:eastAsia="zh-CN" w:bidi="zh-CN"/>
        </w:rPr>
        <w:t>20.49</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zh-CN" w:eastAsia="zh-CN" w:bidi="zh-CN"/>
        </w:rPr>
        <w:t>18.47</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90.14</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 xml:space="preserve">。决算数与年初预算数存在差异的主要原因是：行政事业单位医疗支出减少。  </w:t>
      </w:r>
    </w:p>
    <w:p>
      <w:pPr>
        <w:widowControl/>
        <w:spacing w:line="590" w:lineRule="exact"/>
        <w:ind w:firstLine="564" w:firstLineChars="200"/>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卫生健康支出（类）老龄卫生健康事务（款）老龄卫生健康事务（项）。年初预算为</w:t>
      </w:r>
      <w:r>
        <w:rPr>
          <w:rFonts w:hint="default" w:ascii="Times New Roman" w:hAnsi="Times New Roman" w:eastAsia="仿宋" w:cs="Times New Roman"/>
          <w:color w:val="auto"/>
          <w:spacing w:val="-19"/>
          <w:sz w:val="32"/>
          <w:szCs w:val="22"/>
          <w:highlight w:val="none"/>
          <w:lang w:val="en-US" w:eastAsia="zh-CN" w:bidi="zh-CN"/>
        </w:rPr>
        <w:t>1.24</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1.12</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90.32</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 xml:space="preserve">。决算数与年初预算数存在差异的主要原因是：老龄卫生健康事务支出减少。  </w:t>
      </w:r>
    </w:p>
    <w:p>
      <w:pPr>
        <w:widowControl/>
        <w:spacing w:line="590" w:lineRule="exact"/>
        <w:ind w:firstLine="564" w:firstLineChars="200"/>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en-US" w:eastAsia="zh-CN" w:bidi="zh-CN"/>
        </w:rPr>
        <w:t>5.</w:t>
      </w:r>
      <w:r>
        <w:rPr>
          <w:rFonts w:hint="eastAsia" w:ascii="仿宋" w:hAnsi="仿宋" w:eastAsia="仿宋" w:cs="仿宋"/>
          <w:color w:val="auto"/>
          <w:spacing w:val="-19"/>
          <w:sz w:val="32"/>
          <w:szCs w:val="22"/>
          <w:highlight w:val="none"/>
          <w:lang w:val="zh-CN" w:eastAsia="zh-CN" w:bidi="zh-CN"/>
        </w:rPr>
        <w:t>城乡社区支出（类）城乡社区管理事务（款）行政运行（项）。年初预算为</w:t>
      </w:r>
      <w:r>
        <w:rPr>
          <w:rFonts w:hint="default" w:ascii="Times New Roman" w:hAnsi="Times New Roman" w:eastAsia="仿宋" w:cs="Times New Roman"/>
          <w:color w:val="auto"/>
          <w:spacing w:val="-19"/>
          <w:sz w:val="32"/>
          <w:szCs w:val="22"/>
          <w:highlight w:val="none"/>
          <w:lang w:val="en-US" w:eastAsia="zh-CN" w:bidi="zh-CN"/>
        </w:rPr>
        <w:t>240.11</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240.39</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100.12</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。决算数与年初预算数存在差异的主要原因是：行政运行支出增加。</w:t>
      </w:r>
    </w:p>
    <w:p>
      <w:pPr>
        <w:widowControl/>
        <w:spacing w:line="590" w:lineRule="exact"/>
        <w:ind w:firstLine="564" w:firstLineChars="200"/>
        <w:rPr>
          <w:rFonts w:hint="eastAsia"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zh-CN" w:eastAsia="zh-CN" w:bidi="zh-CN"/>
        </w:rPr>
        <w:t>城乡社区支出（类）城乡社区管理事务（款）机关服务（项）。年初预算为</w:t>
      </w:r>
      <w:r>
        <w:rPr>
          <w:rFonts w:hint="default" w:ascii="Times New Roman" w:hAnsi="Times New Roman" w:eastAsia="仿宋" w:cs="Times New Roman"/>
          <w:color w:val="auto"/>
          <w:spacing w:val="-19"/>
          <w:sz w:val="32"/>
          <w:szCs w:val="22"/>
          <w:highlight w:val="none"/>
          <w:lang w:val="en-US" w:eastAsia="zh-CN" w:bidi="zh-CN"/>
        </w:rPr>
        <w:t>176.46</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176.66</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100.11</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。决算数与年初预算数存在差异的主要原因是：机关服务支出增加。</w:t>
      </w:r>
    </w:p>
    <w:p>
      <w:pPr>
        <w:widowControl/>
        <w:spacing w:line="590" w:lineRule="exact"/>
        <w:ind w:firstLine="564" w:firstLineChars="200"/>
        <w:rPr>
          <w:rFonts w:ascii="仿宋" w:hAnsi="仿宋" w:eastAsia="仿宋" w:cs="仿宋"/>
          <w:color w:val="auto"/>
          <w:spacing w:val="-19"/>
          <w:sz w:val="32"/>
          <w:szCs w:val="22"/>
          <w:highlight w:val="none"/>
          <w:lang w:val="zh-CN" w:eastAsia="zh-CN" w:bidi="zh-CN"/>
        </w:rPr>
      </w:pPr>
      <w:r>
        <w:rPr>
          <w:rFonts w:hint="eastAsia" w:ascii="仿宋" w:hAnsi="仿宋" w:eastAsia="仿宋" w:cs="仿宋"/>
          <w:color w:val="auto"/>
          <w:spacing w:val="-19"/>
          <w:sz w:val="32"/>
          <w:szCs w:val="22"/>
          <w:highlight w:val="none"/>
          <w:lang w:val="en-US" w:eastAsia="zh-CN" w:bidi="zh-CN"/>
        </w:rPr>
        <w:t>6.</w:t>
      </w:r>
      <w:r>
        <w:rPr>
          <w:rFonts w:hint="eastAsia" w:ascii="仿宋" w:hAnsi="仿宋" w:eastAsia="仿宋" w:cs="仿宋"/>
          <w:color w:val="auto"/>
          <w:spacing w:val="-19"/>
          <w:sz w:val="32"/>
          <w:szCs w:val="22"/>
          <w:highlight w:val="none"/>
          <w:lang w:val="zh-CN" w:eastAsia="zh-CN" w:bidi="zh-CN"/>
        </w:rPr>
        <w:t>农林水支出（类）农村综合改革（款）对村民委员会和村党支部的补助（项）。年初预算为</w:t>
      </w:r>
      <w:r>
        <w:rPr>
          <w:rFonts w:hint="default" w:ascii="Times New Roman" w:hAnsi="Times New Roman" w:eastAsia="仿宋" w:cs="Times New Roman"/>
          <w:color w:val="auto"/>
          <w:spacing w:val="-19"/>
          <w:sz w:val="32"/>
          <w:szCs w:val="22"/>
          <w:highlight w:val="none"/>
          <w:lang w:val="en-US" w:eastAsia="zh-CN" w:bidi="zh-CN"/>
        </w:rPr>
        <w:t>0.54</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3.53</w:t>
      </w:r>
      <w:r>
        <w:rPr>
          <w:rFonts w:hint="eastAsia" w:ascii="仿宋" w:hAnsi="仿宋" w:eastAsia="仿宋" w:cs="仿宋"/>
          <w:color w:val="auto"/>
          <w:spacing w:val="-19"/>
          <w:sz w:val="32"/>
          <w:szCs w:val="22"/>
          <w:highlight w:val="none"/>
          <w:lang w:val="zh-CN" w:eastAsia="zh-CN" w:bidi="zh-CN"/>
        </w:rPr>
        <w:t>万元，完成年初预算的</w:t>
      </w:r>
      <w:r>
        <w:rPr>
          <w:rFonts w:hint="eastAsia" w:ascii="Times New Roman" w:hAnsi="Times New Roman" w:eastAsia="仿宋" w:cs="Times New Roman"/>
          <w:color w:val="auto"/>
          <w:spacing w:val="-19"/>
          <w:sz w:val="32"/>
          <w:szCs w:val="22"/>
          <w:highlight w:val="none"/>
          <w:lang w:val="en-US" w:eastAsia="zh-CN" w:bidi="zh-CN"/>
        </w:rPr>
        <w:t xml:space="preserve">653.70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。决算数与年初预算数存在差异的主要原因是：上级对村民委员会和村党支部的补助拨付支出增加。</w:t>
      </w:r>
    </w:p>
    <w:p>
      <w:pPr>
        <w:widowControl/>
        <w:spacing w:line="590" w:lineRule="exact"/>
        <w:ind w:firstLine="564" w:firstLineChars="200"/>
        <w:rPr>
          <w:rFonts w:hint="eastAsia" w:ascii="仿宋" w:hAnsi="仿宋" w:eastAsia="仿宋" w:cs="仿宋"/>
          <w:color w:val="FF0000"/>
          <w:spacing w:val="-19"/>
          <w:sz w:val="32"/>
          <w:szCs w:val="22"/>
          <w:highlight w:val="none"/>
          <w:lang w:val="zh-CN" w:eastAsia="zh-CN" w:bidi="zh-CN"/>
        </w:rPr>
      </w:pPr>
      <w:r>
        <w:rPr>
          <w:rFonts w:hint="eastAsia" w:ascii="仿宋" w:hAnsi="仿宋" w:eastAsia="仿宋" w:cs="仿宋"/>
          <w:color w:val="auto"/>
          <w:spacing w:val="-19"/>
          <w:sz w:val="32"/>
          <w:szCs w:val="22"/>
          <w:highlight w:val="none"/>
          <w:lang w:val="en-US" w:eastAsia="zh-CN" w:bidi="zh-CN"/>
        </w:rPr>
        <w:t>7.</w:t>
      </w:r>
      <w:r>
        <w:rPr>
          <w:rFonts w:hint="eastAsia" w:ascii="仿宋" w:hAnsi="仿宋" w:eastAsia="仿宋" w:cs="仿宋"/>
          <w:color w:val="auto"/>
          <w:spacing w:val="-19"/>
          <w:sz w:val="32"/>
          <w:szCs w:val="22"/>
          <w:highlight w:val="none"/>
          <w:lang w:val="zh-CN" w:eastAsia="zh-CN" w:bidi="zh-CN"/>
        </w:rPr>
        <w:t>住房保障支出（类）住房改革支出（款）住房公积金（项）。年初预算为</w:t>
      </w:r>
      <w:r>
        <w:rPr>
          <w:rFonts w:hint="default" w:ascii="Times New Roman" w:hAnsi="Times New Roman" w:eastAsia="仿宋" w:cs="Times New Roman"/>
          <w:color w:val="auto"/>
          <w:spacing w:val="-19"/>
          <w:sz w:val="32"/>
          <w:szCs w:val="22"/>
          <w:highlight w:val="none"/>
          <w:lang w:val="en-US" w:eastAsia="zh-CN" w:bidi="zh-CN"/>
        </w:rPr>
        <w:t>17.42</w:t>
      </w:r>
      <w:r>
        <w:rPr>
          <w:rFonts w:hint="eastAsia" w:ascii="仿宋" w:hAnsi="仿宋" w:eastAsia="仿宋" w:cs="仿宋"/>
          <w:color w:val="auto"/>
          <w:spacing w:val="-19"/>
          <w:sz w:val="32"/>
          <w:szCs w:val="22"/>
          <w:highlight w:val="none"/>
          <w:lang w:val="zh-CN" w:eastAsia="zh-CN" w:bidi="zh-CN"/>
        </w:rPr>
        <w:t>万元，支出决算为</w:t>
      </w:r>
      <w:r>
        <w:rPr>
          <w:rFonts w:hint="default" w:ascii="Times New Roman" w:hAnsi="Times New Roman" w:eastAsia="仿宋" w:cs="Times New Roman"/>
          <w:color w:val="auto"/>
          <w:spacing w:val="-19"/>
          <w:sz w:val="32"/>
          <w:szCs w:val="22"/>
          <w:highlight w:val="none"/>
          <w:lang w:val="en-US" w:eastAsia="zh-CN" w:bidi="zh-CN"/>
        </w:rPr>
        <w:t>17.42</w:t>
      </w:r>
      <w:r>
        <w:rPr>
          <w:rFonts w:hint="eastAsia" w:ascii="仿宋" w:hAnsi="仿宋" w:eastAsia="仿宋" w:cs="仿宋"/>
          <w:color w:val="auto"/>
          <w:spacing w:val="-19"/>
          <w:sz w:val="32"/>
          <w:szCs w:val="22"/>
          <w:highlight w:val="none"/>
          <w:lang w:val="zh-CN" w:eastAsia="zh-CN" w:bidi="zh-CN"/>
        </w:rPr>
        <w:t>万元，完成年初预算的</w:t>
      </w:r>
      <w:r>
        <w:rPr>
          <w:rFonts w:hint="default" w:ascii="Times New Roman" w:hAnsi="Times New Roman" w:eastAsia="仿宋" w:cs="Times New Roman"/>
          <w:color w:val="auto"/>
          <w:spacing w:val="-19"/>
          <w:sz w:val="32"/>
          <w:szCs w:val="22"/>
          <w:highlight w:val="none"/>
          <w:lang w:val="en-US" w:eastAsia="zh-CN" w:bidi="zh-CN"/>
        </w:rPr>
        <w:t>100</w:t>
      </w:r>
      <w:r>
        <w:rPr>
          <w:rFonts w:hint="eastAsia" w:ascii="Times New Roman" w:hAnsi="Times New Roman" w:eastAsia="仿宋" w:cs="Times New Roman"/>
          <w:color w:val="auto"/>
          <w:spacing w:val="-19"/>
          <w:sz w:val="32"/>
          <w:szCs w:val="22"/>
          <w:highlight w:val="none"/>
          <w:lang w:val="en-US" w:eastAsia="zh-CN" w:bidi="zh-CN"/>
        </w:rPr>
        <w:t xml:space="preserve"> </w:t>
      </w:r>
      <w:r>
        <w:rPr>
          <w:rFonts w:hint="default" w:ascii="Times New Roman" w:hAnsi="Times New Roman" w:eastAsia="仿宋" w:cs="Times New Roman"/>
          <w:color w:val="auto"/>
          <w:spacing w:val="-19"/>
          <w:sz w:val="32"/>
          <w:szCs w:val="22"/>
          <w:highlight w:val="none"/>
          <w:lang w:val="zh-CN" w:eastAsia="zh-CN" w:bidi="zh-CN"/>
        </w:rPr>
        <w:t>%</w:t>
      </w:r>
      <w:r>
        <w:rPr>
          <w:rFonts w:hint="eastAsia" w:ascii="仿宋" w:hAnsi="仿宋" w:eastAsia="仿宋" w:cs="仿宋"/>
          <w:color w:val="auto"/>
          <w:spacing w:val="-19"/>
          <w:sz w:val="32"/>
          <w:szCs w:val="22"/>
          <w:highlight w:val="none"/>
          <w:lang w:val="zh-CN" w:eastAsia="zh-CN" w:bidi="zh-CN"/>
        </w:rPr>
        <w:t>。决算数与年初预算数不存在差异。</w:t>
      </w:r>
      <w:r>
        <w:rPr>
          <w:rFonts w:hint="eastAsia" w:ascii="仿宋" w:hAnsi="仿宋" w:eastAsia="仿宋" w:cs="仿宋"/>
          <w:color w:val="FF0000"/>
          <w:spacing w:val="-19"/>
          <w:sz w:val="32"/>
          <w:szCs w:val="22"/>
          <w:highlight w:val="none"/>
          <w:lang w:val="zh-CN" w:eastAsia="zh-CN" w:bidi="zh-CN"/>
        </w:rPr>
        <w:t xml:space="preserve"> </w:t>
      </w:r>
    </w:p>
    <w:p>
      <w:pPr>
        <w:widowControl/>
        <w:spacing w:line="590" w:lineRule="exact"/>
        <w:ind w:firstLine="564" w:firstLineChars="200"/>
        <w:rPr>
          <w:rFonts w:hint="default" w:ascii="仿宋" w:hAnsi="仿宋" w:eastAsia="仿宋" w:cs="仿宋"/>
          <w:color w:val="auto"/>
          <w:spacing w:val="-19"/>
          <w:sz w:val="32"/>
          <w:szCs w:val="22"/>
          <w:highlight w:val="none"/>
          <w:lang w:val="en-US" w:eastAsia="zh-CN" w:bidi="zh-CN"/>
        </w:rPr>
      </w:pPr>
      <w:r>
        <w:rPr>
          <w:rFonts w:hint="eastAsia" w:ascii="仿宋" w:hAnsi="仿宋" w:eastAsia="仿宋" w:cs="仿宋"/>
          <w:color w:val="auto"/>
          <w:spacing w:val="-19"/>
          <w:sz w:val="32"/>
          <w:szCs w:val="22"/>
          <w:highlight w:val="none"/>
          <w:lang w:val="en-US" w:eastAsia="zh-CN" w:bidi="zh-CN"/>
        </w:rPr>
        <w:t>8.</w:t>
      </w:r>
      <w:r>
        <w:rPr>
          <w:rFonts w:hint="eastAsia" w:ascii="仿宋" w:hAnsi="仿宋" w:eastAsia="仿宋" w:cs="仿宋"/>
          <w:color w:val="auto"/>
          <w:spacing w:val="-19"/>
          <w:sz w:val="32"/>
          <w:szCs w:val="22"/>
          <w:highlight w:val="none"/>
          <w:lang w:val="zh-CN" w:eastAsia="zh-CN" w:bidi="zh-CN"/>
        </w:rPr>
        <w:t>抗疫特别国债安排的支出（类）抗疫相关支出（款）其他抗疫相关支出（项）</w:t>
      </w:r>
      <w:r>
        <w:rPr>
          <w:rFonts w:hint="eastAsia" w:ascii="仿宋" w:hAnsi="仿宋" w:eastAsia="仿宋" w:cs="仿宋"/>
          <w:color w:val="auto"/>
          <w:spacing w:val="-19"/>
          <w:sz w:val="32"/>
          <w:szCs w:val="22"/>
          <w:highlight w:val="none"/>
          <w:lang w:val="en-US" w:eastAsia="zh-CN" w:bidi="zh-CN"/>
        </w:rPr>
        <w:t>支出决算为60万元。</w:t>
      </w:r>
    </w:p>
    <w:p>
      <w:pPr>
        <w:spacing w:before="26"/>
        <w:ind w:left="711"/>
        <w:rPr>
          <w:rFonts w:hint="eastAsia" w:ascii="黑体" w:eastAsia="黑体"/>
          <w:sz w:val="30"/>
        </w:rPr>
      </w:pPr>
      <w:r>
        <w:rPr>
          <w:rFonts w:hint="eastAsia" w:ascii="黑体" w:eastAsia="黑体"/>
          <w:sz w:val="30"/>
        </w:rPr>
        <w:t>六、一般公共预算财政拨款基本支出决算情况说明</w:t>
      </w:r>
    </w:p>
    <w:p>
      <w:pPr>
        <w:pStyle w:val="3"/>
        <w:spacing w:before="174" w:line="338" w:lineRule="auto"/>
        <w:ind w:left="111" w:right="409" w:firstLine="640"/>
        <w:jc w:val="both"/>
      </w:pPr>
      <w:r>
        <w:rPr>
          <w:rFonts w:ascii="Times New Roman" w:eastAsia="Times New Roman"/>
        </w:rPr>
        <w:t xml:space="preserve">2020 </w:t>
      </w:r>
      <w:r>
        <w:rPr>
          <w:spacing w:val="-5"/>
        </w:rPr>
        <w:t>年度一般公共预算财政拨款基本支出</w:t>
      </w:r>
      <w:r>
        <w:rPr>
          <w:rFonts w:hint="eastAsia" w:ascii="Times New Roman" w:eastAsia="宋体"/>
          <w:lang w:val="en-US" w:eastAsia="zh-CN"/>
        </w:rPr>
        <w:t>323.35</w:t>
      </w:r>
      <w:r>
        <w:t>万元。</w:t>
      </w:r>
      <w:r>
        <w:rPr>
          <w:spacing w:val="-8"/>
        </w:rPr>
        <w:t>与上年度相比，减少</w:t>
      </w:r>
      <w:r>
        <w:rPr>
          <w:rFonts w:hint="eastAsia" w:ascii="Times New Roman" w:eastAsia="宋体"/>
          <w:lang w:val="en-US" w:eastAsia="zh-CN"/>
        </w:rPr>
        <w:t>259.98</w:t>
      </w:r>
      <w:r>
        <w:rPr>
          <w:spacing w:val="-14"/>
        </w:rPr>
        <w:t>万元，下降</w:t>
      </w:r>
      <w:r>
        <w:rPr>
          <w:rFonts w:hint="eastAsia" w:ascii="Times New Roman" w:eastAsia="宋体"/>
          <w:lang w:val="en-US" w:eastAsia="zh-CN"/>
        </w:rPr>
        <w:t>44.59</w:t>
      </w:r>
      <w:r>
        <w:rPr>
          <w:rFonts w:ascii="Times New Roman" w:eastAsia="Times New Roman"/>
        </w:rPr>
        <w:t>%</w:t>
      </w:r>
      <w:r>
        <w:t>。减少的原因是</w:t>
      </w:r>
      <w:r>
        <w:rPr>
          <w:spacing w:val="-8"/>
        </w:rPr>
        <w:t>人员经费支出较上年</w:t>
      </w:r>
      <w:r>
        <w:rPr>
          <w:rFonts w:hint="eastAsia"/>
          <w:spacing w:val="-8"/>
          <w:lang w:eastAsia="zh-CN"/>
        </w:rPr>
        <w:t>减少</w:t>
      </w:r>
      <w:r>
        <w:rPr>
          <w:rFonts w:hint="eastAsia" w:ascii="Times New Roman" w:eastAsia="宋体"/>
          <w:lang w:val="en-US" w:eastAsia="zh-CN"/>
        </w:rPr>
        <w:t>7.1</w:t>
      </w:r>
      <w:r>
        <w:rPr>
          <w:spacing w:val="-27"/>
        </w:rPr>
        <w:t>万元，</w:t>
      </w:r>
      <w:r>
        <w:rPr>
          <w:rFonts w:hint="eastAsia"/>
          <w:spacing w:val="-27"/>
          <w:lang w:eastAsia="zh-CN"/>
        </w:rPr>
        <w:t>下降</w:t>
      </w:r>
      <w:r>
        <w:rPr>
          <w:rFonts w:hint="eastAsia" w:ascii="Times New Roman" w:eastAsia="宋体"/>
          <w:lang w:val="en-US" w:eastAsia="zh-CN"/>
        </w:rPr>
        <w:t>2.20%</w:t>
      </w:r>
      <w:r>
        <w:rPr>
          <w:spacing w:val="-3"/>
        </w:rPr>
        <w:t>；公用经费支出</w:t>
      </w:r>
      <w:r>
        <w:rPr>
          <w:spacing w:val="-16"/>
        </w:rPr>
        <w:t>较上年减少</w:t>
      </w:r>
      <w:r>
        <w:rPr>
          <w:rFonts w:hint="eastAsia" w:ascii="Times New Roman" w:eastAsia="宋体"/>
          <w:lang w:val="en-US" w:eastAsia="zh-CN"/>
        </w:rPr>
        <w:t>8.8</w:t>
      </w:r>
      <w:r>
        <w:rPr>
          <w:spacing w:val="-14"/>
        </w:rPr>
        <w:t>万元，下降</w:t>
      </w:r>
      <w:r>
        <w:rPr>
          <w:rFonts w:hint="eastAsia" w:ascii="Times New Roman" w:eastAsia="宋体"/>
          <w:lang w:val="en-US" w:eastAsia="zh-CN"/>
        </w:rPr>
        <w:t>2.65%</w:t>
      </w:r>
      <w:r>
        <w:t>。其中：</w:t>
      </w:r>
    </w:p>
    <w:p>
      <w:pPr>
        <w:pStyle w:val="3"/>
        <w:spacing w:before="8" w:line="338" w:lineRule="auto"/>
        <w:ind w:left="111" w:right="250" w:firstLine="640"/>
      </w:pPr>
      <w:r>
        <w:rPr>
          <w:spacing w:val="7"/>
        </w:rPr>
        <w:t>（一）</w:t>
      </w:r>
      <w:r>
        <w:rPr>
          <w:spacing w:val="-13"/>
        </w:rPr>
        <w:t>人员经费</w:t>
      </w:r>
      <w:r>
        <w:rPr>
          <w:rFonts w:hint="eastAsia" w:ascii="Times New Roman" w:eastAsia="宋体"/>
          <w:lang w:val="en-US" w:eastAsia="zh-CN"/>
        </w:rPr>
        <w:t>306.59</w:t>
      </w:r>
      <w:r>
        <w:rPr>
          <w:spacing w:val="6"/>
        </w:rPr>
        <w:t>万元，主要包括：基本工资、津</w:t>
      </w:r>
      <w:r>
        <w:rPr>
          <w:spacing w:val="-10"/>
        </w:rPr>
        <w:t>贴补贴、奖金、伙食补助费、绩效工资、机关事业单位基本养老</w:t>
      </w:r>
      <w:r>
        <w:rPr>
          <w:spacing w:val="-14"/>
        </w:rPr>
        <w:t>保险缴费、职业年金缴费、职工基本医疗保险缴费、公务员医疗</w:t>
      </w:r>
      <w:r>
        <w:rPr>
          <w:spacing w:val="-20"/>
          <w:w w:val="95"/>
        </w:rPr>
        <w:t xml:space="preserve">补助缴费、其他社会保障缴费、住房公积金、其他工资福利支出、 </w:t>
      </w:r>
      <w:r>
        <w:rPr>
          <w:spacing w:val="-14"/>
        </w:rPr>
        <w:t>离休费、退休费、抚恤金、生活补助、奖励金、其他对个人和家庭的补助支出；</w:t>
      </w:r>
    </w:p>
    <w:p>
      <w:pPr>
        <w:pStyle w:val="3"/>
        <w:keepNext w:val="0"/>
        <w:keepLines w:val="0"/>
        <w:pageBreakBefore w:val="0"/>
        <w:widowControl w:val="0"/>
        <w:kinsoku/>
        <w:wordWrap/>
        <w:overflowPunct/>
        <w:topLinePunct w:val="0"/>
        <w:autoSpaceDE w:val="0"/>
        <w:autoSpaceDN w:val="0"/>
        <w:bidi w:val="0"/>
        <w:adjustRightInd/>
        <w:snapToGrid/>
        <w:spacing w:before="55" w:line="360" w:lineRule="auto"/>
        <w:ind w:firstLine="640" w:firstLineChars="200"/>
        <w:textAlignment w:val="auto"/>
      </w:pPr>
      <w:r>
        <w:t>（二</w:t>
      </w:r>
      <w:r>
        <w:rPr>
          <w:spacing w:val="-67"/>
        </w:rPr>
        <w:t>）</w:t>
      </w:r>
      <w:r>
        <w:rPr>
          <w:spacing w:val="-2"/>
        </w:rPr>
        <w:t>公用经费</w:t>
      </w:r>
      <w:r>
        <w:rPr>
          <w:rFonts w:hint="eastAsia" w:ascii="Times New Roman" w:eastAsia="宋体"/>
          <w:lang w:val="en-US" w:eastAsia="zh-CN"/>
        </w:rPr>
        <w:t>16.77</w:t>
      </w:r>
      <w:r>
        <w:rPr>
          <w:spacing w:val="-16"/>
        </w:rPr>
        <w:t>万元，主要包括：办公费、印刷费、</w:t>
      </w:r>
      <w:r>
        <w:rPr>
          <w:spacing w:val="-29"/>
          <w:w w:val="95"/>
        </w:rPr>
        <w:t>咨询费、水费、邮电费、取暖费、物业管理费、差旅费、维修</w:t>
      </w:r>
      <w:r>
        <w:rPr>
          <w:w w:val="95"/>
        </w:rPr>
        <w:t>（护）</w:t>
      </w:r>
      <w:r>
        <w:t>费、培训费、公务接待费、专用材料费、劳务费、委托业务费、</w:t>
      </w:r>
      <w:r>
        <w:rPr>
          <w:spacing w:val="-11"/>
        </w:rPr>
        <w:t>工会经费、福利费、公务用车运行维护费、其他交通费用、其他</w:t>
      </w:r>
      <w:r>
        <w:t>商品和服务支出、办公设备购置。</w:t>
      </w:r>
    </w:p>
    <w:p>
      <w:pPr>
        <w:spacing w:before="190"/>
        <w:ind w:left="711"/>
        <w:rPr>
          <w:rFonts w:hint="eastAsia" w:ascii="黑体" w:hAnsi="黑体" w:eastAsia="黑体"/>
          <w:sz w:val="30"/>
        </w:rPr>
      </w:pPr>
      <w:r>
        <w:rPr>
          <w:rFonts w:hint="eastAsia" w:ascii="黑体" w:hAnsi="黑体" w:eastAsia="黑体"/>
          <w:sz w:val="30"/>
        </w:rPr>
        <w:t>七、一般公共预算财政拨款</w:t>
      </w:r>
      <w:r>
        <w:rPr>
          <w:sz w:val="30"/>
        </w:rPr>
        <w:t>“</w:t>
      </w:r>
      <w:r>
        <w:rPr>
          <w:rFonts w:hint="eastAsia" w:ascii="黑体" w:hAnsi="黑体" w:eastAsia="黑体"/>
          <w:sz w:val="30"/>
        </w:rPr>
        <w:t>三公</w:t>
      </w:r>
      <w:r>
        <w:rPr>
          <w:sz w:val="30"/>
        </w:rPr>
        <w:t>”</w:t>
      </w:r>
      <w:r>
        <w:rPr>
          <w:rFonts w:hint="eastAsia" w:ascii="黑体" w:hAnsi="黑体" w:eastAsia="黑体"/>
          <w:sz w:val="30"/>
        </w:rPr>
        <w:t>经费支出决算情况说明</w:t>
      </w:r>
    </w:p>
    <w:p>
      <w:pPr>
        <w:pStyle w:val="3"/>
        <w:spacing w:before="174"/>
        <w:ind w:left="751"/>
        <w:rPr>
          <w:rFonts w:hint="eastAsia" w:ascii="楷体" w:hAnsi="楷体" w:eastAsia="楷体"/>
        </w:rPr>
      </w:pPr>
      <w:r>
        <w:rPr>
          <w:rFonts w:hint="eastAsia" w:ascii="楷体" w:hAnsi="楷体" w:eastAsia="楷体"/>
        </w:rPr>
        <w:t>（一）</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经费财政拨款支出决算总体情况说明</w:t>
      </w:r>
    </w:p>
    <w:p>
      <w:pPr>
        <w:pStyle w:val="3"/>
        <w:spacing w:before="171" w:line="340" w:lineRule="auto"/>
        <w:ind w:left="111" w:right="248" w:firstLine="640"/>
        <w:rPr>
          <w:rFonts w:hint="eastAsia" w:eastAsia="仿宋"/>
          <w:lang w:eastAsia="zh-CN"/>
        </w:rPr>
      </w:pPr>
      <w:r>
        <w:rPr>
          <w:rFonts w:ascii="Times New Roman" w:hAnsi="Times New Roman" w:eastAsia="Times New Roman"/>
        </w:rPr>
        <w:t xml:space="preserve">2020 </w:t>
      </w:r>
      <w:r>
        <w:t>年度</w:t>
      </w:r>
      <w:r>
        <w:rPr>
          <w:rFonts w:ascii="Times New Roman" w:hAnsi="Times New Roman" w:eastAsia="Times New Roman"/>
        </w:rPr>
        <w:t>“</w:t>
      </w:r>
      <w:r>
        <w:t>三公</w:t>
      </w:r>
      <w:r>
        <w:rPr>
          <w:rFonts w:ascii="Times New Roman" w:hAnsi="Times New Roman" w:eastAsia="Times New Roman"/>
        </w:rPr>
        <w:t>”</w:t>
      </w:r>
      <w:r>
        <w:rPr>
          <w:spacing w:val="-7"/>
        </w:rPr>
        <w:t>经费财政拨款支出预算为</w:t>
      </w:r>
      <w:r>
        <w:rPr>
          <w:rFonts w:hint="eastAsia" w:ascii="Times New Roman" w:hAnsi="Times New Roman" w:eastAsia="宋体"/>
          <w:lang w:val="en-US" w:eastAsia="zh-CN"/>
        </w:rPr>
        <w:t>1</w:t>
      </w:r>
      <w:r>
        <w:rPr>
          <w:spacing w:val="-17"/>
        </w:rPr>
        <w:t>万元，支出</w:t>
      </w:r>
      <w:r>
        <w:rPr>
          <w:spacing w:val="-34"/>
        </w:rPr>
        <w:t>决算为</w:t>
      </w:r>
      <w:r>
        <w:rPr>
          <w:rFonts w:hint="eastAsia" w:ascii="Times New Roman" w:hAnsi="Times New Roman" w:eastAsia="宋体"/>
          <w:lang w:val="en-US" w:eastAsia="zh-CN"/>
        </w:rPr>
        <w:t>0.71</w:t>
      </w:r>
      <w:r>
        <w:rPr>
          <w:spacing w:val="-12"/>
        </w:rPr>
        <w:t>万元，完成预算的</w:t>
      </w:r>
      <w:r>
        <w:rPr>
          <w:rFonts w:hint="eastAsia" w:ascii="Times New Roman" w:hAnsi="Times New Roman" w:eastAsia="宋体"/>
          <w:lang w:val="en-US" w:eastAsia="zh-CN"/>
        </w:rPr>
        <w:t>71</w:t>
      </w:r>
      <w:r>
        <w:rPr>
          <w:rFonts w:ascii="Times New Roman" w:hAnsi="Times New Roman" w:eastAsia="Times New Roman"/>
        </w:rPr>
        <w:t>%</w:t>
      </w:r>
      <w:r>
        <w:rPr>
          <w:spacing w:val="-12"/>
        </w:rPr>
        <w:t>。</w:t>
      </w:r>
      <w:r>
        <w:rPr>
          <w:rFonts w:ascii="Times New Roman" w:hAnsi="Times New Roman" w:eastAsia="Times New Roman"/>
        </w:rPr>
        <w:t xml:space="preserve">2020 </w:t>
      </w:r>
      <w:r>
        <w:t>年度</w:t>
      </w:r>
      <w:r>
        <w:rPr>
          <w:rFonts w:ascii="Times New Roman" w:hAnsi="Times New Roman" w:eastAsia="Times New Roman"/>
        </w:rPr>
        <w:t>“</w:t>
      </w:r>
      <w:r>
        <w:t>三公</w:t>
      </w:r>
      <w:r>
        <w:rPr>
          <w:rFonts w:ascii="Times New Roman" w:hAnsi="Times New Roman" w:eastAsia="Times New Roman"/>
        </w:rPr>
        <w:t>”</w:t>
      </w:r>
      <w:r>
        <w:t>支出决算数与预算数存在差异的主要原因是：</w:t>
      </w:r>
      <w:r>
        <w:rPr>
          <w:rFonts w:hint="eastAsia"/>
          <w:lang w:eastAsia="zh-CN"/>
        </w:rPr>
        <w:t>公务用车运行费减少。</w:t>
      </w:r>
    </w:p>
    <w:p>
      <w:pPr>
        <w:pStyle w:val="3"/>
        <w:spacing w:line="407" w:lineRule="exact"/>
        <w:ind w:left="751"/>
        <w:rPr>
          <w:rFonts w:hint="eastAsia" w:ascii="楷体" w:hAnsi="楷体" w:eastAsia="楷体"/>
        </w:rPr>
      </w:pPr>
      <w:r>
        <w:rPr>
          <w:rFonts w:hint="eastAsia" w:ascii="楷体" w:hAnsi="楷体" w:eastAsia="楷体"/>
        </w:rPr>
        <w:t>（二）</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经费财政拨款支出决算具体情况说明</w:t>
      </w:r>
    </w:p>
    <w:p>
      <w:pPr>
        <w:pStyle w:val="3"/>
        <w:spacing w:before="157"/>
        <w:ind w:left="751"/>
        <w:jc w:val="both"/>
      </w:pPr>
      <w:r>
        <w:rPr>
          <w:rFonts w:ascii="Times New Roman" w:hAnsi="Times New Roman" w:eastAsia="Times New Roman"/>
        </w:rPr>
        <w:t xml:space="preserve">2020 </w:t>
      </w:r>
      <w:r>
        <w:t>年度</w:t>
      </w:r>
      <w:r>
        <w:rPr>
          <w:rFonts w:ascii="Times New Roman" w:hAnsi="Times New Roman" w:eastAsia="Times New Roman"/>
        </w:rPr>
        <w:t>“</w:t>
      </w:r>
      <w:r>
        <w:t>三公</w:t>
      </w:r>
      <w:r>
        <w:rPr>
          <w:rFonts w:ascii="Times New Roman" w:hAnsi="Times New Roman" w:eastAsia="Times New Roman"/>
        </w:rPr>
        <w:t>”</w:t>
      </w:r>
      <w:r>
        <w:t>经费财政拨款支出决算中，因公出国（境）</w:t>
      </w:r>
    </w:p>
    <w:p>
      <w:pPr>
        <w:pStyle w:val="3"/>
        <w:spacing w:before="171" w:line="338" w:lineRule="auto"/>
        <w:ind w:left="111" w:right="406"/>
        <w:jc w:val="both"/>
      </w:pPr>
      <w:r>
        <w:rPr>
          <w:spacing w:val="-7"/>
        </w:rPr>
        <w:t xml:space="preserve">费年初预算和支出决算均为 </w:t>
      </w:r>
      <w:r>
        <w:rPr>
          <w:rFonts w:ascii="Times New Roman" w:eastAsia="Times New Roman"/>
        </w:rPr>
        <w:t xml:space="preserve">0 </w:t>
      </w:r>
      <w:r>
        <w:rPr>
          <w:spacing w:val="-12"/>
        </w:rPr>
        <w:t>万元；公务用车购置及运行费支出</w:t>
      </w:r>
      <w:r>
        <w:rPr>
          <w:spacing w:val="-36"/>
        </w:rPr>
        <w:t>决算</w:t>
      </w:r>
      <w:r>
        <w:rPr>
          <w:rFonts w:hint="eastAsia"/>
          <w:spacing w:val="-36"/>
          <w:lang w:val="en-US" w:eastAsia="zh-CN"/>
        </w:rPr>
        <w:t xml:space="preserve"> </w:t>
      </w:r>
      <w:r>
        <w:rPr>
          <w:rFonts w:hint="eastAsia" w:ascii="Times New Roman" w:eastAsia="宋体"/>
        </w:rPr>
        <w:t>0</w:t>
      </w:r>
      <w:r>
        <w:rPr>
          <w:rFonts w:hint="eastAsia" w:ascii="Times New Roman" w:eastAsia="宋体"/>
          <w:lang w:val="en-US" w:eastAsia="zh-CN"/>
        </w:rPr>
        <w:t xml:space="preserve">.71 </w:t>
      </w:r>
      <w:r>
        <w:rPr>
          <w:spacing w:val="-13"/>
        </w:rPr>
        <w:t>万元，完成年初预算的</w:t>
      </w:r>
      <w:r>
        <w:rPr>
          <w:rFonts w:hint="eastAsia"/>
          <w:spacing w:val="-13"/>
          <w:lang w:val="en-US" w:eastAsia="zh-CN"/>
        </w:rPr>
        <w:t xml:space="preserve"> </w:t>
      </w:r>
      <w:r>
        <w:rPr>
          <w:rFonts w:hint="eastAsia" w:ascii="Times New Roman" w:eastAsia="宋体"/>
          <w:spacing w:val="-5"/>
          <w:lang w:val="en-US" w:eastAsia="zh-CN"/>
        </w:rPr>
        <w:t>71</w:t>
      </w:r>
      <w:r>
        <w:rPr>
          <w:rFonts w:ascii="Times New Roman" w:eastAsia="Times New Roman"/>
          <w:spacing w:val="-5"/>
        </w:rPr>
        <w:t>%</w:t>
      </w:r>
      <w:r>
        <w:rPr>
          <w:spacing w:val="-30"/>
        </w:rPr>
        <w:t xml:space="preserve">，占 </w:t>
      </w:r>
      <w:r>
        <w:rPr>
          <w:rFonts w:hint="eastAsia" w:ascii="Times New Roman" w:eastAsia="宋体"/>
          <w:spacing w:val="-4"/>
          <w:lang w:val="en-US" w:eastAsia="zh-CN"/>
        </w:rPr>
        <w:t>71</w:t>
      </w:r>
      <w:r>
        <w:rPr>
          <w:rFonts w:ascii="Times New Roman" w:eastAsia="Times New Roman"/>
          <w:spacing w:val="-4"/>
        </w:rPr>
        <w:t>%</w:t>
      </w:r>
      <w:r>
        <w:rPr>
          <w:rFonts w:hint="eastAsia" w:ascii="Times New Roman" w:eastAsia="宋体"/>
          <w:spacing w:val="-4"/>
          <w:lang w:val="en-US" w:eastAsia="zh-CN"/>
        </w:rPr>
        <w:t xml:space="preserve"> </w:t>
      </w:r>
      <w:r>
        <w:rPr>
          <w:spacing w:val="-2"/>
        </w:rPr>
        <w:t>；公务接</w:t>
      </w:r>
      <w:r>
        <w:rPr>
          <w:w w:val="99"/>
        </w:rPr>
        <w:t>待费支出决算</w:t>
      </w:r>
      <w:r>
        <w:rPr>
          <w:rFonts w:hint="eastAsia" w:ascii="Times New Roman" w:eastAsia="宋体"/>
        </w:rPr>
        <w:t xml:space="preserve"> 0</w:t>
      </w:r>
      <w:r>
        <w:rPr>
          <w:rFonts w:hint="eastAsia" w:ascii="Times New Roman" w:eastAsia="宋体"/>
          <w:lang w:val="en-US" w:eastAsia="zh-CN"/>
        </w:rPr>
        <w:t xml:space="preserve"> </w:t>
      </w:r>
      <w:r>
        <w:rPr>
          <w:spacing w:val="-15"/>
          <w:w w:val="99"/>
        </w:rPr>
        <w:t>万元，完成年初预算的</w:t>
      </w:r>
      <w:r>
        <w:rPr>
          <w:rFonts w:hint="eastAsia"/>
          <w:spacing w:val="-15"/>
          <w:w w:val="99"/>
          <w:lang w:val="en-US" w:eastAsia="zh-CN"/>
        </w:rPr>
        <w:t xml:space="preserve"> </w:t>
      </w:r>
      <w:r>
        <w:rPr>
          <w:rFonts w:hint="eastAsia" w:ascii="Times New Roman" w:eastAsia="宋体"/>
          <w:spacing w:val="-5"/>
          <w:lang w:val="en-US" w:eastAsia="zh-CN"/>
        </w:rPr>
        <w:t>0%</w:t>
      </w:r>
      <w:r>
        <w:rPr>
          <w:spacing w:val="-69"/>
          <w:w w:val="99"/>
        </w:rPr>
        <w:t>，占</w:t>
      </w:r>
      <w:r>
        <w:rPr>
          <w:rFonts w:hint="eastAsia" w:ascii="Times New Roman" w:eastAsia="宋体"/>
          <w:spacing w:val="-5"/>
          <w:lang w:val="en-US" w:eastAsia="zh-CN"/>
        </w:rPr>
        <w:t xml:space="preserve"> 0%</w:t>
      </w:r>
      <w:r>
        <w:rPr>
          <w:spacing w:val="13"/>
          <w:w w:val="99"/>
        </w:rPr>
        <w:t>。具</w:t>
      </w:r>
      <w:r>
        <w:rPr>
          <w:spacing w:val="13"/>
        </w:rPr>
        <w:t>体情况如下：</w:t>
      </w:r>
    </w:p>
    <w:p>
      <w:pPr>
        <w:pStyle w:val="9"/>
        <w:numPr>
          <w:ilvl w:val="2"/>
          <w:numId w:val="2"/>
        </w:numPr>
        <w:tabs>
          <w:tab w:val="left" w:pos="994"/>
        </w:tabs>
        <w:spacing w:before="8"/>
        <w:ind w:hanging="243"/>
        <w:jc w:val="both"/>
        <w:rPr>
          <w:sz w:val="32"/>
        </w:rPr>
      </w:pPr>
      <w:r>
        <w:rPr>
          <w:spacing w:val="-3"/>
          <w:sz w:val="32"/>
        </w:rPr>
        <w:t>因公出国</w:t>
      </w:r>
      <w:r>
        <w:rPr>
          <w:sz w:val="32"/>
        </w:rPr>
        <w:t>（境</w:t>
      </w:r>
      <w:r>
        <w:rPr>
          <w:spacing w:val="-12"/>
          <w:sz w:val="32"/>
        </w:rPr>
        <w:t xml:space="preserve">）费年初预算为 </w:t>
      </w:r>
      <w:r>
        <w:rPr>
          <w:rFonts w:ascii="Times New Roman" w:eastAsia="Times New Roman"/>
          <w:sz w:val="32"/>
        </w:rPr>
        <w:t>0</w:t>
      </w:r>
      <w:r>
        <w:rPr>
          <w:rFonts w:ascii="Times New Roman" w:eastAsia="Times New Roman"/>
          <w:spacing w:val="-1"/>
          <w:sz w:val="32"/>
        </w:rPr>
        <w:t xml:space="preserve"> </w:t>
      </w:r>
      <w:r>
        <w:rPr>
          <w:spacing w:val="-11"/>
          <w:sz w:val="32"/>
        </w:rPr>
        <w:t xml:space="preserve">万元，支出决算为 </w:t>
      </w:r>
      <w:r>
        <w:rPr>
          <w:rFonts w:ascii="Times New Roman" w:eastAsia="Times New Roman"/>
          <w:sz w:val="32"/>
        </w:rPr>
        <w:t>0</w:t>
      </w:r>
      <w:r>
        <w:rPr>
          <w:rFonts w:ascii="Times New Roman" w:eastAsia="Times New Roman"/>
          <w:spacing w:val="-2"/>
          <w:sz w:val="32"/>
        </w:rPr>
        <w:t xml:space="preserve"> </w:t>
      </w:r>
      <w:r>
        <w:rPr>
          <w:sz w:val="32"/>
        </w:rPr>
        <w:t>万</w:t>
      </w:r>
    </w:p>
    <w:p>
      <w:pPr>
        <w:pStyle w:val="3"/>
        <w:spacing w:before="12"/>
        <w:rPr>
          <w:sz w:val="8"/>
        </w:rPr>
      </w:pPr>
    </w:p>
    <w:p>
      <w:pPr>
        <w:pStyle w:val="3"/>
        <w:spacing w:before="54"/>
        <w:ind w:left="111"/>
      </w:pPr>
      <w:r>
        <w:t>元。</w:t>
      </w:r>
    </w:p>
    <w:p>
      <w:pPr>
        <w:pStyle w:val="3"/>
        <w:spacing w:before="171" w:line="338" w:lineRule="auto"/>
        <w:ind w:left="111" w:right="406" w:firstLine="612" w:firstLineChars="200"/>
        <w:jc w:val="both"/>
        <w:rPr>
          <w:rFonts w:hint="eastAsia"/>
          <w:spacing w:val="-7"/>
          <w:lang w:val="zh-CN" w:eastAsia="zh-CN"/>
        </w:rPr>
      </w:pPr>
      <w:r>
        <w:rPr>
          <w:rFonts w:hint="eastAsia"/>
          <w:spacing w:val="-7"/>
          <w:lang w:val="en-US" w:eastAsia="zh-CN"/>
        </w:rPr>
        <w:t>2.</w:t>
      </w:r>
      <w:r>
        <w:rPr>
          <w:spacing w:val="-7"/>
        </w:rPr>
        <w:t>公务用车购置及运行费年初预算为</w:t>
      </w:r>
      <w:r>
        <w:rPr>
          <w:rFonts w:hint="default" w:ascii="Times New Roman" w:hAnsi="Times New Roman" w:cs="Times New Roman"/>
          <w:spacing w:val="-13"/>
          <w:lang w:val="en-US" w:eastAsia="zh-CN"/>
        </w:rPr>
        <w:t>1</w:t>
      </w:r>
      <w:r>
        <w:rPr>
          <w:spacing w:val="-7"/>
        </w:rPr>
        <w:t>万元，支出决算</w:t>
      </w:r>
      <w:r>
        <w:rPr>
          <w:spacing w:val="-7"/>
          <w:lang w:val="zh-CN" w:eastAsia="zh-CN"/>
        </w:rPr>
        <w:t>为</w:t>
      </w:r>
      <w:r>
        <w:rPr>
          <w:rFonts w:hint="default" w:ascii="Times New Roman" w:hAnsi="Times New Roman" w:cs="Times New Roman"/>
          <w:spacing w:val="-13"/>
          <w:lang w:val="en-US" w:eastAsia="zh-CN"/>
        </w:rPr>
        <w:t>0.71</w:t>
      </w:r>
      <w:r>
        <w:rPr>
          <w:spacing w:val="-7"/>
          <w:lang w:val="zh-CN" w:eastAsia="zh-CN"/>
        </w:rPr>
        <w:t>万元，完成年初预算的</w:t>
      </w:r>
      <w:r>
        <w:rPr>
          <w:rFonts w:hint="default" w:ascii="Times New Roman" w:hAnsi="Times New Roman" w:cs="Times New Roman"/>
          <w:spacing w:val="-13"/>
          <w:lang w:val="en-US" w:eastAsia="zh-CN"/>
        </w:rPr>
        <w:t>71</w:t>
      </w:r>
      <w:r>
        <w:rPr>
          <w:rFonts w:hint="default" w:ascii="Times New Roman" w:hAnsi="Times New Roman" w:cs="Times New Roman"/>
          <w:spacing w:val="-13"/>
          <w:lang w:val="zh-CN" w:eastAsia="zh-CN"/>
        </w:rPr>
        <w:t>%</w:t>
      </w:r>
      <w:r>
        <w:rPr>
          <w:spacing w:val="-7"/>
          <w:lang w:val="zh-CN" w:eastAsia="zh-CN"/>
        </w:rPr>
        <w:t>。决算数与年初预算数存在差异的主要原因是</w:t>
      </w:r>
      <w:r>
        <w:rPr>
          <w:rFonts w:hint="eastAsia"/>
          <w:spacing w:val="-7"/>
          <w:lang w:val="zh-CN" w:eastAsia="zh-CN"/>
        </w:rPr>
        <w:t>：公务用车运行费减少</w:t>
      </w:r>
      <w:r>
        <w:rPr>
          <w:spacing w:val="-7"/>
          <w:lang w:val="zh-CN" w:eastAsia="zh-CN"/>
        </w:rPr>
        <w:t>。</w:t>
      </w:r>
    </w:p>
    <w:p>
      <w:pPr>
        <w:pStyle w:val="3"/>
        <w:keepNext w:val="0"/>
        <w:keepLines w:val="0"/>
        <w:pageBreakBefore w:val="0"/>
        <w:widowControl w:val="0"/>
        <w:kinsoku/>
        <w:wordWrap/>
        <w:overflowPunct/>
        <w:topLinePunct w:val="0"/>
        <w:autoSpaceDE w:val="0"/>
        <w:autoSpaceDN w:val="0"/>
        <w:bidi w:val="0"/>
        <w:adjustRightInd/>
        <w:snapToGrid/>
        <w:spacing w:before="171"/>
        <w:ind w:firstLine="640" w:firstLineChars="200"/>
        <w:textAlignment w:val="auto"/>
        <w:rPr>
          <w:rFonts w:hint="eastAsia" w:eastAsia="仿宋"/>
          <w:lang w:eastAsia="zh-CN"/>
        </w:rPr>
      </w:pPr>
      <w:r>
        <w:t>公务用车购置支出</w:t>
      </w:r>
      <w:r>
        <w:rPr>
          <w:rFonts w:hint="default" w:ascii="Times New Roman" w:hAnsi="Times New Roman" w:cs="Times New Roman"/>
          <w:lang w:val="en-US" w:eastAsia="zh-CN"/>
        </w:rPr>
        <w:t>0</w:t>
      </w:r>
      <w:r>
        <w:t>万元，购置车辆</w:t>
      </w:r>
      <w:r>
        <w:rPr>
          <w:rFonts w:hint="default" w:ascii="Times New Roman" w:hAnsi="Times New Roman" w:cs="Times New Roman"/>
          <w:lang w:val="en-US" w:eastAsia="zh-CN"/>
        </w:rPr>
        <w:t>0</w:t>
      </w:r>
      <w:r>
        <w:t>辆</w:t>
      </w:r>
      <w:r>
        <w:rPr>
          <w:rFonts w:hint="eastAsia"/>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70" w:line="338" w:lineRule="auto"/>
        <w:ind w:right="250" w:firstLine="596" w:firstLineChars="200"/>
        <w:textAlignment w:val="auto"/>
        <w:rPr>
          <w:rFonts w:hint="eastAsia" w:ascii="仿宋" w:hAnsi="仿宋" w:eastAsia="仿宋" w:cs="仿宋"/>
          <w:spacing w:val="-8"/>
          <w:sz w:val="32"/>
          <w:szCs w:val="22"/>
          <w:highlight w:val="none"/>
          <w:lang w:val="en-US" w:eastAsia="zh-CN" w:bidi="zh-CN"/>
        </w:rPr>
      </w:pPr>
      <w:r>
        <w:rPr>
          <w:spacing w:val="-11"/>
        </w:rPr>
        <w:t>公务用车运行费支出</w:t>
      </w:r>
      <w:r>
        <w:rPr>
          <w:rFonts w:hint="eastAsia" w:ascii="Times New Roman" w:eastAsia="宋体"/>
          <w:lang w:val="en-US" w:eastAsia="zh-CN"/>
        </w:rPr>
        <w:t>0.71</w:t>
      </w:r>
      <w:r>
        <w:rPr>
          <w:spacing w:val="-14"/>
        </w:rPr>
        <w:t>万元。</w:t>
      </w:r>
      <w:r>
        <w:rPr>
          <w:spacing w:val="-14"/>
          <w:highlight w:val="none"/>
        </w:rPr>
        <w:t>主要用于</w:t>
      </w:r>
      <w:r>
        <w:rPr>
          <w:rFonts w:hint="eastAsia"/>
          <w:spacing w:val="-14"/>
          <w:highlight w:val="none"/>
          <w:lang w:eastAsia="zh-CN"/>
        </w:rPr>
        <w:t>公车的过路费、燃油费、保险、停车费及维修等其他费用。</w:t>
      </w:r>
      <w:r>
        <w:rPr>
          <w:rFonts w:hint="default" w:ascii="Times New Roman" w:hAnsi="Times New Roman" w:eastAsia="仿宋" w:cs="Times New Roman"/>
          <w:spacing w:val="-8"/>
          <w:sz w:val="32"/>
          <w:szCs w:val="22"/>
          <w:highlight w:val="none"/>
          <w:lang w:val="en-US" w:eastAsia="zh-CN" w:bidi="zh-CN"/>
        </w:rPr>
        <w:t>20</w:t>
      </w:r>
      <w:r>
        <w:rPr>
          <w:rFonts w:hint="default" w:ascii="Times New Roman" w:hAnsi="Times New Roman" w:cs="Times New Roman"/>
          <w:spacing w:val="-8"/>
          <w:sz w:val="32"/>
          <w:szCs w:val="22"/>
          <w:highlight w:val="none"/>
          <w:lang w:val="en-US" w:eastAsia="zh-CN" w:bidi="zh-CN"/>
        </w:rPr>
        <w:t>20</w:t>
      </w:r>
      <w:r>
        <w:rPr>
          <w:rFonts w:hint="eastAsia" w:ascii="仿宋" w:hAnsi="仿宋" w:eastAsia="仿宋" w:cs="仿宋"/>
          <w:spacing w:val="-8"/>
          <w:sz w:val="32"/>
          <w:szCs w:val="22"/>
          <w:highlight w:val="none"/>
          <w:lang w:val="en-US" w:eastAsia="zh-CN" w:bidi="zh-CN"/>
        </w:rPr>
        <w:t>年期末，部门开支财政拨款的公务用车保有量为</w:t>
      </w:r>
      <w:r>
        <w:rPr>
          <w:rFonts w:hint="default" w:ascii="Times New Roman" w:hAnsi="Times New Roman" w:eastAsia="仿宋" w:cs="Times New Roman"/>
          <w:spacing w:val="-8"/>
          <w:sz w:val="32"/>
          <w:szCs w:val="22"/>
          <w:highlight w:val="none"/>
          <w:lang w:val="en-US" w:eastAsia="zh-CN" w:bidi="zh-CN"/>
        </w:rPr>
        <w:t>2</w:t>
      </w:r>
      <w:r>
        <w:rPr>
          <w:rFonts w:hint="eastAsia" w:ascii="仿宋" w:hAnsi="仿宋" w:eastAsia="仿宋" w:cs="仿宋"/>
          <w:spacing w:val="-8"/>
          <w:sz w:val="32"/>
          <w:szCs w:val="22"/>
          <w:highlight w:val="none"/>
          <w:lang w:val="en-US" w:eastAsia="zh-CN" w:bidi="zh-CN"/>
        </w:rPr>
        <w:t>辆 。</w:t>
      </w:r>
    </w:p>
    <w:p>
      <w:pPr>
        <w:pStyle w:val="9"/>
        <w:numPr>
          <w:ilvl w:val="2"/>
          <w:numId w:val="2"/>
        </w:numPr>
        <w:tabs>
          <w:tab w:val="left" w:pos="994"/>
        </w:tabs>
        <w:spacing w:before="6" w:line="340" w:lineRule="auto"/>
        <w:ind w:left="111" w:right="250" w:firstLine="640"/>
        <w:rPr>
          <w:sz w:val="32"/>
        </w:rPr>
      </w:pPr>
      <w:r>
        <w:rPr>
          <w:spacing w:val="-8"/>
          <w:sz w:val="32"/>
        </w:rPr>
        <w:t>公务接待费年初预算为</w:t>
      </w:r>
      <w:r>
        <w:rPr>
          <w:rFonts w:hint="default" w:ascii="Times New Roman" w:hAnsi="Times New Roman" w:cs="Times New Roman"/>
          <w:spacing w:val="-8"/>
          <w:sz w:val="32"/>
          <w:lang w:val="en-US" w:eastAsia="zh-CN"/>
        </w:rPr>
        <w:t>0</w:t>
      </w:r>
      <w:r>
        <w:rPr>
          <w:spacing w:val="-15"/>
          <w:sz w:val="32"/>
        </w:rPr>
        <w:t>万元，支出决算为</w:t>
      </w:r>
      <w:r>
        <w:rPr>
          <w:rFonts w:hint="default" w:ascii="Times New Roman" w:hAnsi="Times New Roman" w:cs="Times New Roman"/>
          <w:spacing w:val="-15"/>
          <w:sz w:val="32"/>
          <w:lang w:val="en-US" w:eastAsia="zh-CN"/>
        </w:rPr>
        <w:t>0</w:t>
      </w:r>
      <w:r>
        <w:rPr>
          <w:sz w:val="32"/>
        </w:rPr>
        <w:t>万元</w:t>
      </w:r>
      <w:r>
        <w:rPr>
          <w:rFonts w:hint="eastAsia"/>
          <w:sz w:val="32"/>
          <w:lang w:eastAsia="zh-CN"/>
        </w:rPr>
        <w:t>，</w:t>
      </w:r>
      <w:r>
        <w:rPr>
          <w:spacing w:val="-7"/>
          <w:sz w:val="32"/>
        </w:rPr>
        <w:t>完成年初预算的</w:t>
      </w:r>
      <w:r>
        <w:rPr>
          <w:rFonts w:hint="default" w:ascii="Times New Roman" w:hAnsi="Times New Roman" w:cs="Times New Roman"/>
          <w:spacing w:val="-7"/>
          <w:sz w:val="32"/>
        </w:rPr>
        <w:t xml:space="preserve"> </w:t>
      </w:r>
      <w:r>
        <w:rPr>
          <w:rFonts w:hint="default" w:ascii="Times New Roman" w:hAnsi="Times New Roman" w:cs="Times New Roman"/>
          <w:spacing w:val="-7"/>
          <w:sz w:val="32"/>
          <w:lang w:val="en-US" w:eastAsia="zh-CN"/>
        </w:rPr>
        <w:t>0</w:t>
      </w:r>
      <w:r>
        <w:rPr>
          <w:rFonts w:hint="eastAsia"/>
          <w:spacing w:val="-7"/>
          <w:sz w:val="32"/>
          <w:lang w:val="en-US" w:eastAsia="zh-CN"/>
        </w:rPr>
        <w:t>%</w:t>
      </w:r>
      <w:r>
        <w:rPr>
          <w:spacing w:val="4"/>
          <w:sz w:val="32"/>
        </w:rPr>
        <w:t>。决算数与年初预算数</w:t>
      </w:r>
      <w:r>
        <w:rPr>
          <w:rFonts w:hint="eastAsia"/>
          <w:spacing w:val="4"/>
          <w:sz w:val="32"/>
          <w:lang w:eastAsia="zh-CN"/>
        </w:rPr>
        <w:t>不</w:t>
      </w:r>
      <w:r>
        <w:rPr>
          <w:spacing w:val="4"/>
          <w:sz w:val="32"/>
        </w:rPr>
        <w:t>存在差异</w:t>
      </w:r>
      <w:r>
        <w:rPr>
          <w:rFonts w:hint="eastAsia"/>
          <w:spacing w:val="4"/>
          <w:sz w:val="32"/>
          <w:lang w:eastAsia="zh-CN"/>
        </w:rPr>
        <w:t>。</w:t>
      </w:r>
    </w:p>
    <w:p>
      <w:pPr>
        <w:pStyle w:val="3"/>
        <w:spacing w:line="340" w:lineRule="auto"/>
        <w:ind w:left="111" w:right="374" w:firstLine="640"/>
        <w:jc w:val="both"/>
        <w:rPr>
          <w:rFonts w:hint="eastAsia"/>
          <w:highlight w:val="none"/>
          <w:lang w:eastAsia="zh-CN"/>
        </w:rPr>
      </w:pPr>
      <w:r>
        <w:rPr>
          <w:spacing w:val="-7"/>
        </w:rPr>
        <w:t>该项支出决算为其他国内公务接待支出，主要用于按规定开支的各类公务接待费用</w:t>
      </w:r>
      <w:r>
        <w:rPr>
          <w:spacing w:val="-7"/>
          <w:highlight w:val="none"/>
        </w:rPr>
        <w:t>。</w:t>
      </w:r>
      <w:r>
        <w:rPr>
          <w:rFonts w:ascii="Times New Roman" w:eastAsia="Times New Roman"/>
          <w:spacing w:val="-7"/>
          <w:highlight w:val="none"/>
        </w:rPr>
        <w:t xml:space="preserve">2020 </w:t>
      </w:r>
      <w:r>
        <w:rPr>
          <w:spacing w:val="-7"/>
          <w:highlight w:val="none"/>
        </w:rPr>
        <w:t>年度共接待国内来访团组</w:t>
      </w:r>
      <w:r>
        <w:rPr>
          <w:rFonts w:hint="eastAsia" w:ascii="Times New Roman" w:eastAsia="宋体"/>
          <w:highlight w:val="none"/>
          <w:lang w:val="en-US" w:eastAsia="zh-CN"/>
        </w:rPr>
        <w:t>0</w:t>
      </w:r>
      <w:r>
        <w:rPr>
          <w:highlight w:val="none"/>
        </w:rPr>
        <w:t>个、</w:t>
      </w:r>
      <w:r>
        <w:rPr>
          <w:spacing w:val="-16"/>
          <w:highlight w:val="none"/>
        </w:rPr>
        <w:t>来访人员</w:t>
      </w:r>
      <w:r>
        <w:rPr>
          <w:rFonts w:hint="eastAsia"/>
          <w:spacing w:val="-16"/>
          <w:highlight w:val="none"/>
          <w:lang w:val="en-US" w:eastAsia="zh-CN"/>
        </w:rPr>
        <w:t>0</w:t>
      </w:r>
      <w:r>
        <w:rPr>
          <w:highlight w:val="none"/>
        </w:rPr>
        <w:t>人次（不包括陪同人员）</w:t>
      </w:r>
      <w:r>
        <w:rPr>
          <w:rFonts w:hint="eastAsia"/>
          <w:highlight w:val="none"/>
          <w:lang w:eastAsia="zh-CN"/>
        </w:rPr>
        <w:t>。</w:t>
      </w:r>
    </w:p>
    <w:p>
      <w:pPr>
        <w:pStyle w:val="3"/>
        <w:spacing w:before="55"/>
        <w:rPr>
          <w:rFonts w:hint="eastAsia" w:ascii="黑体" w:eastAsia="黑体"/>
          <w:sz w:val="30"/>
        </w:rPr>
      </w:pPr>
      <w:r>
        <w:rPr>
          <w:rFonts w:hint="eastAsia" w:ascii="黑体" w:eastAsia="黑体"/>
          <w:sz w:val="30"/>
        </w:rPr>
        <w:t>八、预算绩效情况说明</w:t>
      </w:r>
    </w:p>
    <w:p>
      <w:pPr>
        <w:pStyle w:val="3"/>
        <w:spacing w:before="176"/>
        <w:ind w:left="751"/>
        <w:rPr>
          <w:rFonts w:hint="eastAsia" w:ascii="楷体" w:eastAsia="楷体"/>
        </w:rPr>
      </w:pPr>
      <w:r>
        <w:rPr>
          <w:rFonts w:hint="eastAsia" w:ascii="楷体" w:eastAsia="楷体"/>
        </w:rPr>
        <w:t>（一）绩效管理工作开展情况</w:t>
      </w:r>
    </w:p>
    <w:p>
      <w:pPr>
        <w:pStyle w:val="3"/>
        <w:keepNext w:val="0"/>
        <w:keepLines w:val="0"/>
        <w:pageBreakBefore w:val="0"/>
        <w:widowControl w:val="0"/>
        <w:kinsoku/>
        <w:wordWrap/>
        <w:overflowPunct/>
        <w:topLinePunct w:val="0"/>
        <w:autoSpaceDE w:val="0"/>
        <w:autoSpaceDN w:val="0"/>
        <w:bidi w:val="0"/>
        <w:adjustRightInd/>
        <w:snapToGrid/>
        <w:spacing w:before="64" w:line="360" w:lineRule="auto"/>
        <w:ind w:left="113" w:right="249" w:firstLine="564" w:firstLineChars="200"/>
        <w:textAlignment w:val="auto"/>
      </w:pPr>
      <w:r>
        <w:rPr>
          <w:rFonts w:hint="eastAsia"/>
          <w:spacing w:val="-11"/>
          <w:w w:val="95"/>
          <w:lang w:val="en-US" w:eastAsia="zh-CN"/>
        </w:rPr>
        <w:t>为进一步强化财政支出管理，规范财政支出行为，提高财政资金的使用效益和效率，逐步建立科学、合理的财政支出绩效评价方法。根据《洛阳市财政局关于印发《洛阳市全过程预算绩效管理体系（试行）》的通知（洛财绩效[2012]2号）文件精神，</w:t>
      </w:r>
      <w:r>
        <w:rPr>
          <w:spacing w:val="-2"/>
        </w:rPr>
        <w:t>我</w:t>
      </w:r>
      <w:r>
        <w:rPr>
          <w:rFonts w:hint="eastAsia"/>
          <w:spacing w:val="-2"/>
          <w:lang w:eastAsia="zh-CN"/>
        </w:rPr>
        <w:t>单位</w:t>
      </w:r>
      <w:r>
        <w:rPr>
          <w:spacing w:val="-2"/>
        </w:rPr>
        <w:t>高度重视，成立了绩效自</w:t>
      </w:r>
      <w:r>
        <w:rPr>
          <w:spacing w:val="-19"/>
          <w:w w:val="95"/>
        </w:rPr>
        <w:t>评工作领导小组，</w:t>
      </w:r>
      <w:r>
        <w:rPr>
          <w:rFonts w:hint="eastAsia"/>
          <w:spacing w:val="-11"/>
          <w:w w:val="95"/>
          <w:lang w:val="en-US" w:eastAsia="zh-CN"/>
        </w:rPr>
        <w:t>开展了自我评价。</w:t>
      </w:r>
      <w:r>
        <w:rPr>
          <w:spacing w:val="-19"/>
          <w:w w:val="95"/>
        </w:rPr>
        <w:t>通过基础资料收集、数据汇总分析等工作程序，</w:t>
      </w:r>
      <w:r>
        <w:rPr>
          <w:spacing w:val="-22"/>
        </w:rPr>
        <w:t>对单位项目的情况进行全面了解，形成了</w:t>
      </w:r>
      <w:r>
        <w:rPr>
          <w:color w:val="auto"/>
          <w:spacing w:val="-22"/>
        </w:rPr>
        <w:t>《洛阳市</w:t>
      </w:r>
      <w:r>
        <w:rPr>
          <w:rFonts w:hint="eastAsia"/>
          <w:color w:val="auto"/>
          <w:spacing w:val="-22"/>
          <w:lang w:eastAsia="zh-CN"/>
        </w:rPr>
        <w:t>西工区邙岭路街道办事处</w:t>
      </w:r>
      <w:r>
        <w:rPr>
          <w:spacing w:val="-32"/>
        </w:rPr>
        <w:t xml:space="preserve"> </w:t>
      </w:r>
      <w:r>
        <w:rPr>
          <w:rFonts w:ascii="Times New Roman" w:eastAsia="Times New Roman"/>
        </w:rPr>
        <w:t xml:space="preserve">2020 </w:t>
      </w:r>
      <w:r>
        <w:t>年度项目单位自评总结报告》并送</w:t>
      </w:r>
      <w:r>
        <w:rPr>
          <w:rFonts w:hint="eastAsia"/>
          <w:lang w:eastAsia="zh-CN"/>
        </w:rPr>
        <w:t>区</w:t>
      </w:r>
      <w:r>
        <w:t>财政局。</w:t>
      </w:r>
    </w:p>
    <w:p>
      <w:pPr>
        <w:pStyle w:val="3"/>
        <w:spacing w:before="9"/>
        <w:ind w:left="751"/>
        <w:rPr>
          <w:rFonts w:hint="eastAsia" w:ascii="楷体" w:eastAsia="楷体"/>
        </w:rPr>
      </w:pPr>
      <w:r>
        <w:rPr>
          <w:rFonts w:hint="eastAsia" w:ascii="楷体" w:eastAsia="楷体"/>
        </w:rPr>
        <w:t>（二）项目绩效自评结果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9" w:line="360" w:lineRule="auto"/>
        <w:ind w:firstLine="640" w:firstLineChars="200"/>
        <w:textAlignment w:val="auto"/>
        <w:rPr>
          <w:rFonts w:hint="eastAsia"/>
          <w:spacing w:val="-4"/>
        </w:rPr>
      </w:pPr>
      <w:r>
        <w:rPr>
          <w:rFonts w:hint="eastAsia" w:ascii="仿宋" w:hAnsi="仿宋" w:eastAsia="仿宋" w:cs="仿宋"/>
          <w:lang w:val="en-US" w:eastAsia="zh-CN"/>
        </w:rPr>
        <w:t>2020年2月13日河南省卫生健康委员会印发《河南省卫生健康委员会关于印发河南省新型冠状病毒肺炎疫情防控应急预案的通知》（豫卫发【2020】2号文件）中，各部门做好防护物资储备，确保防护物资充足供应，特实行本项目。项目主要用途：主要用于疫情防控工作中购买防疫物资，社会防控物资，储备量能够满足</w:t>
      </w:r>
      <w:r>
        <w:rPr>
          <w:rFonts w:hint="default" w:ascii="Times New Roman" w:hAnsi="Times New Roman" w:eastAsia="仿宋" w:cs="Times New Roman"/>
          <w:lang w:val="en-US" w:eastAsia="zh-CN"/>
        </w:rPr>
        <w:t>3</w:t>
      </w:r>
      <w:r>
        <w:rPr>
          <w:rFonts w:hint="eastAsia" w:ascii="仿宋" w:hAnsi="仿宋" w:eastAsia="仿宋" w:cs="仿宋"/>
          <w:lang w:val="en-US" w:eastAsia="zh-CN"/>
        </w:rPr>
        <w:t>个月的使用。</w:t>
      </w:r>
      <w:r>
        <w:rPr>
          <w:spacing w:val="-4"/>
        </w:rPr>
        <w:t>我</w:t>
      </w:r>
      <w:r>
        <w:rPr>
          <w:rFonts w:hint="eastAsia"/>
          <w:spacing w:val="-4"/>
          <w:lang w:eastAsia="zh-CN"/>
        </w:rPr>
        <w:t>单位</w:t>
      </w:r>
      <w:r>
        <w:rPr>
          <w:rFonts w:hint="default" w:ascii="Times New Roman" w:hAnsi="Times New Roman" w:cs="Times New Roman"/>
          <w:spacing w:val="-4"/>
        </w:rPr>
        <w:t xml:space="preserve">2020 </w:t>
      </w:r>
      <w:r>
        <w:rPr>
          <w:spacing w:val="-4"/>
        </w:rPr>
        <w:t>年度项目共有</w:t>
      </w:r>
      <w:r>
        <w:rPr>
          <w:rFonts w:hint="default" w:ascii="Times New Roman" w:hAnsi="Times New Roman" w:cs="Times New Roman"/>
          <w:spacing w:val="-4"/>
          <w:lang w:val="en-US" w:eastAsia="zh-CN"/>
        </w:rPr>
        <w:t>2</w:t>
      </w:r>
      <w:r>
        <w:rPr>
          <w:spacing w:val="-4"/>
        </w:rPr>
        <w:t>个；全年实际执行数为</w:t>
      </w:r>
      <w:r>
        <w:rPr>
          <w:rFonts w:hint="default" w:ascii="Times New Roman" w:hAnsi="Times New Roman" w:cs="Times New Roman"/>
          <w:spacing w:val="-4"/>
          <w:lang w:val="en-US" w:eastAsia="zh-CN"/>
        </w:rPr>
        <w:t>60</w:t>
      </w:r>
      <w:r>
        <w:rPr>
          <w:spacing w:val="-4"/>
        </w:rPr>
        <w:t>万元，预算执行率为</w:t>
      </w:r>
      <w:r>
        <w:rPr>
          <w:rFonts w:hint="default" w:ascii="Times New Roman" w:hAnsi="Times New Roman" w:cs="Times New Roman"/>
          <w:spacing w:val="-4"/>
          <w:lang w:val="en-US" w:eastAsia="zh-CN"/>
        </w:rPr>
        <w:t>100</w:t>
      </w:r>
      <w:r>
        <w:rPr>
          <w:rFonts w:hint="default" w:ascii="Times New Roman" w:hAnsi="Times New Roman" w:cs="Times New Roman"/>
          <w:spacing w:val="-4"/>
        </w:rPr>
        <w:t>%</w:t>
      </w:r>
      <w:r>
        <w:rPr>
          <w:spacing w:val="-4"/>
        </w:rPr>
        <w:t>。我</w:t>
      </w:r>
      <w:r>
        <w:rPr>
          <w:rFonts w:hint="eastAsia"/>
          <w:spacing w:val="-4"/>
          <w:lang w:eastAsia="zh-CN"/>
        </w:rPr>
        <w:t>单位</w:t>
      </w:r>
      <w:r>
        <w:rPr>
          <w:spacing w:val="-4"/>
        </w:rPr>
        <w:t>通过对本</w:t>
      </w:r>
      <w:r>
        <w:rPr>
          <w:rFonts w:hint="eastAsia"/>
          <w:spacing w:val="-4"/>
          <w:lang w:eastAsia="zh-CN"/>
        </w:rPr>
        <w:t>单位</w:t>
      </w:r>
      <w:r>
        <w:rPr>
          <w:spacing w:val="-4"/>
        </w:rPr>
        <w:t>项目调查研究、座谈、查阅相关资料，</w:t>
      </w:r>
      <w:r>
        <w:rPr>
          <w:rFonts w:hint="eastAsia"/>
          <w:spacing w:val="-4"/>
          <w:lang w:eastAsia="zh-CN"/>
        </w:rPr>
        <w:t>问卷调查满意度为满意。</w:t>
      </w:r>
    </w:p>
    <w:p>
      <w:pPr>
        <w:pStyle w:val="3"/>
        <w:spacing w:before="6"/>
        <w:ind w:left="751"/>
        <w:rPr>
          <w:rFonts w:hint="eastAsia" w:ascii="楷体" w:eastAsia="楷体"/>
        </w:rPr>
      </w:pPr>
      <w:r>
        <w:rPr>
          <w:rFonts w:hint="eastAsia" w:ascii="楷体" w:eastAsia="楷体"/>
        </w:rPr>
        <w:t>（三）重点绩效评价结果</w:t>
      </w:r>
    </w:p>
    <w:p>
      <w:pPr>
        <w:pStyle w:val="3"/>
        <w:keepNext w:val="0"/>
        <w:keepLines w:val="0"/>
        <w:pageBreakBefore w:val="0"/>
        <w:widowControl w:val="0"/>
        <w:kinsoku/>
        <w:wordWrap/>
        <w:overflowPunct/>
        <w:topLinePunct w:val="0"/>
        <w:autoSpaceDE w:val="0"/>
        <w:autoSpaceDN w:val="0"/>
        <w:bidi w:val="0"/>
        <w:adjustRightInd/>
        <w:snapToGrid/>
        <w:spacing w:before="64" w:line="360" w:lineRule="auto"/>
        <w:ind w:firstLine="640" w:firstLineChars="200"/>
        <w:textAlignment w:val="auto"/>
        <w:rPr>
          <w:rFonts w:hint="eastAsia" w:ascii="楷体" w:eastAsia="楷体"/>
          <w:lang w:eastAsia="zh-CN"/>
        </w:rPr>
      </w:pPr>
      <w:r>
        <w:rPr>
          <w:rFonts w:ascii="仿宋" w:hAnsi="仿宋" w:eastAsia="仿宋" w:cs="仿宋"/>
          <w:sz w:val="32"/>
          <w:szCs w:val="32"/>
          <w:lang w:val="zh-CN" w:eastAsia="zh-CN" w:bidi="zh-CN"/>
        </w:rPr>
        <w:t>根据</w:t>
      </w:r>
      <w:r>
        <w:rPr>
          <w:rFonts w:hint="eastAsia" w:ascii="仿宋" w:hAnsi="仿宋" w:eastAsia="仿宋" w:cs="仿宋"/>
          <w:sz w:val="32"/>
          <w:szCs w:val="32"/>
          <w:lang w:val="en-US" w:eastAsia="zh-CN" w:bidi="zh-CN"/>
        </w:rPr>
        <w:t>《洛阳市财政局关于印发《洛阳市全过程预算绩效管理体系（试行）》的通知（洛财绩效[2012]2号）</w:t>
      </w:r>
      <w:r>
        <w:rPr>
          <w:rFonts w:ascii="仿宋" w:hAnsi="仿宋" w:eastAsia="仿宋" w:cs="仿宋"/>
          <w:sz w:val="32"/>
          <w:szCs w:val="32"/>
          <w:lang w:val="zh-CN" w:eastAsia="zh-CN" w:bidi="zh-CN"/>
        </w:rPr>
        <w:t>要求，我</w:t>
      </w:r>
      <w:r>
        <w:rPr>
          <w:rFonts w:hint="eastAsia" w:cs="仿宋"/>
          <w:sz w:val="32"/>
          <w:szCs w:val="32"/>
          <w:lang w:val="zh-CN" w:eastAsia="zh-CN" w:bidi="zh-CN"/>
        </w:rPr>
        <w:t>单位</w:t>
      </w:r>
      <w:r>
        <w:rPr>
          <w:rFonts w:ascii="仿宋" w:hAnsi="仿宋" w:eastAsia="仿宋" w:cs="仿宋"/>
          <w:sz w:val="32"/>
          <w:szCs w:val="32"/>
          <w:lang w:val="zh-CN" w:eastAsia="zh-CN" w:bidi="zh-CN"/>
        </w:rPr>
        <w:t>对“</w:t>
      </w:r>
      <w:r>
        <w:rPr>
          <w:rFonts w:hint="eastAsia" w:ascii="仿宋" w:hAnsi="仿宋" w:eastAsia="仿宋" w:cs="仿宋"/>
          <w:sz w:val="32"/>
          <w:szCs w:val="32"/>
          <w:lang w:val="en-US" w:eastAsia="zh-CN" w:bidi="zh-CN"/>
        </w:rPr>
        <w:t>洛阳市西工区邙岭路</w:t>
      </w:r>
      <w:r>
        <w:rPr>
          <w:rFonts w:hint="eastAsia" w:cs="仿宋"/>
          <w:sz w:val="32"/>
          <w:szCs w:val="32"/>
          <w:lang w:val="en-US" w:eastAsia="zh-CN" w:bidi="zh-CN"/>
        </w:rPr>
        <w:t>街道</w:t>
      </w:r>
      <w:r>
        <w:rPr>
          <w:rFonts w:hint="eastAsia" w:ascii="仿宋" w:hAnsi="仿宋" w:eastAsia="仿宋" w:cs="仿宋"/>
          <w:sz w:val="32"/>
          <w:szCs w:val="32"/>
          <w:lang w:val="en-US" w:eastAsia="zh-CN" w:bidi="zh-CN"/>
        </w:rPr>
        <w:t>办事处关于“抗疫国债”--补</w:t>
      </w:r>
      <w:r>
        <w:rPr>
          <w:rFonts w:hint="eastAsia" w:cs="仿宋"/>
          <w:sz w:val="32"/>
          <w:szCs w:val="32"/>
          <w:lang w:val="en-US" w:eastAsia="zh-CN" w:bidi="zh-CN"/>
        </w:rPr>
        <w:t>助及</w:t>
      </w:r>
      <w:r>
        <w:rPr>
          <w:rFonts w:hint="eastAsia" w:ascii="仿宋" w:hAnsi="仿宋" w:eastAsia="仿宋" w:cs="仿宋"/>
          <w:sz w:val="32"/>
          <w:szCs w:val="32"/>
          <w:lang w:val="en-US" w:eastAsia="zh-CN" w:bidi="zh-CN"/>
        </w:rPr>
        <w:t>“抗疫国债”--</w:t>
      </w:r>
      <w:r>
        <w:rPr>
          <w:rFonts w:hint="eastAsia" w:cs="仿宋"/>
          <w:sz w:val="32"/>
          <w:szCs w:val="32"/>
          <w:lang w:val="en-US" w:eastAsia="zh-CN" w:bidi="zh-CN"/>
        </w:rPr>
        <w:t>物资</w:t>
      </w:r>
      <w:r>
        <w:rPr>
          <w:rFonts w:hint="eastAsia" w:ascii="仿宋" w:hAnsi="仿宋" w:eastAsia="仿宋" w:cs="仿宋"/>
          <w:sz w:val="32"/>
          <w:szCs w:val="32"/>
          <w:lang w:val="en-US" w:eastAsia="zh-CN" w:bidi="zh-CN"/>
        </w:rPr>
        <w:t>项目绩效评价报告正文（自我评价）</w:t>
      </w:r>
      <w:r>
        <w:rPr>
          <w:rFonts w:ascii="仿宋" w:hAnsi="仿宋" w:eastAsia="仿宋" w:cs="仿宋"/>
          <w:sz w:val="32"/>
          <w:szCs w:val="32"/>
          <w:lang w:val="zh-CN" w:eastAsia="zh-CN" w:bidi="zh-CN"/>
        </w:rPr>
        <w:t>”项目进行了重点绩效评价。截至</w:t>
      </w:r>
      <w:r>
        <w:rPr>
          <w:rFonts w:hint="default" w:ascii="Times New Roman" w:hAnsi="Times New Roman" w:eastAsia="仿宋" w:cs="Times New Roman"/>
          <w:sz w:val="32"/>
          <w:szCs w:val="32"/>
          <w:lang w:val="zh-CN" w:eastAsia="zh-CN" w:bidi="zh-CN"/>
        </w:rPr>
        <w:t xml:space="preserve"> 2021 </w:t>
      </w:r>
      <w:r>
        <w:rPr>
          <w:rFonts w:ascii="仿宋" w:hAnsi="仿宋" w:eastAsia="仿宋" w:cs="仿宋"/>
          <w:sz w:val="32"/>
          <w:szCs w:val="32"/>
          <w:lang w:val="zh-CN" w:eastAsia="zh-CN" w:bidi="zh-CN"/>
        </w:rPr>
        <w:t>年</w:t>
      </w:r>
      <w:r>
        <w:rPr>
          <w:rFonts w:hint="default" w:ascii="Times New Roman" w:hAnsi="Times New Roman" w:eastAsia="仿宋" w:cs="Times New Roman"/>
          <w:sz w:val="32"/>
          <w:szCs w:val="32"/>
          <w:lang w:val="en-US" w:eastAsia="zh-CN" w:bidi="zh-CN"/>
        </w:rPr>
        <w:t>3</w:t>
      </w:r>
      <w:r>
        <w:rPr>
          <w:rFonts w:hint="default" w:ascii="Times New Roman" w:hAnsi="Times New Roman" w:eastAsia="仿宋" w:cs="Times New Roman"/>
          <w:sz w:val="32"/>
          <w:szCs w:val="32"/>
          <w:lang w:val="zh-CN" w:eastAsia="zh-CN" w:bidi="zh-CN"/>
        </w:rPr>
        <w:t xml:space="preserve"> </w:t>
      </w:r>
      <w:r>
        <w:rPr>
          <w:rFonts w:ascii="仿宋" w:hAnsi="仿宋" w:eastAsia="仿宋" w:cs="仿宋"/>
          <w:sz w:val="32"/>
          <w:szCs w:val="32"/>
          <w:lang w:val="zh-CN" w:eastAsia="zh-CN" w:bidi="zh-CN"/>
        </w:rPr>
        <w:t>月评价时段，实际到位资金为</w:t>
      </w:r>
      <w:r>
        <w:rPr>
          <w:rFonts w:hint="default" w:ascii="Times New Roman" w:hAnsi="Times New Roman" w:eastAsia="仿宋" w:cs="Times New Roman"/>
          <w:sz w:val="32"/>
          <w:szCs w:val="32"/>
          <w:lang w:val="en-US" w:eastAsia="zh-CN" w:bidi="zh-CN"/>
        </w:rPr>
        <w:t>60</w:t>
      </w:r>
      <w:r>
        <w:rPr>
          <w:rFonts w:ascii="仿宋" w:hAnsi="仿宋" w:eastAsia="仿宋" w:cs="仿宋"/>
          <w:sz w:val="32"/>
          <w:szCs w:val="32"/>
          <w:lang w:val="zh-CN" w:eastAsia="zh-CN" w:bidi="zh-CN"/>
        </w:rPr>
        <w:t>万元，资金到位率为</w:t>
      </w:r>
      <w:r>
        <w:rPr>
          <w:rFonts w:hint="default" w:ascii="Times New Roman" w:hAnsi="Times New Roman" w:eastAsia="仿宋" w:cs="Times New Roman"/>
          <w:spacing w:val="-17"/>
          <w:sz w:val="32"/>
          <w:szCs w:val="32"/>
          <w:lang w:val="en-US" w:eastAsia="zh-CN" w:bidi="zh-CN"/>
        </w:rPr>
        <w:t>100</w:t>
      </w:r>
      <w:r>
        <w:rPr>
          <w:rFonts w:hint="eastAsia" w:ascii="Times New Roman" w:hAnsi="Times New Roman" w:cs="Times New Roman"/>
          <w:spacing w:val="-17"/>
          <w:sz w:val="32"/>
          <w:szCs w:val="32"/>
          <w:lang w:val="en-US" w:eastAsia="zh-CN" w:bidi="zh-CN"/>
        </w:rPr>
        <w:t xml:space="preserve"> </w:t>
      </w:r>
      <w:r>
        <w:rPr>
          <w:rFonts w:hint="default" w:ascii="Times New Roman" w:hAnsi="Times New Roman" w:eastAsia="仿宋" w:cs="Times New Roman"/>
          <w:spacing w:val="-17"/>
          <w:sz w:val="32"/>
          <w:szCs w:val="32"/>
          <w:lang w:val="zh-CN" w:eastAsia="zh-CN" w:bidi="zh-CN"/>
        </w:rPr>
        <w:t>%</w:t>
      </w:r>
      <w:r>
        <w:rPr>
          <w:rFonts w:ascii="仿宋" w:hAnsi="仿宋" w:eastAsia="仿宋" w:cs="仿宋"/>
          <w:sz w:val="32"/>
          <w:szCs w:val="32"/>
          <w:lang w:val="zh-CN" w:eastAsia="zh-CN" w:bidi="zh-CN"/>
        </w:rPr>
        <w:t>。通过数据采集、</w:t>
      </w:r>
      <w:r>
        <w:rPr>
          <w:rFonts w:hint="eastAsia" w:ascii="仿宋" w:hAnsi="仿宋" w:eastAsia="仿宋" w:cs="仿宋"/>
          <w:sz w:val="32"/>
          <w:szCs w:val="32"/>
          <w:lang w:val="zh-CN" w:eastAsia="zh-CN" w:bidi="zh-CN"/>
        </w:rPr>
        <w:t>问卷</w:t>
      </w:r>
      <w:r>
        <w:rPr>
          <w:spacing w:val="-9"/>
        </w:rPr>
        <w:t>调查及访谈，对</w:t>
      </w:r>
      <w:r>
        <w:rPr>
          <w:rFonts w:hint="eastAsia" w:ascii="仿宋" w:hAnsi="仿宋" w:eastAsia="仿宋" w:cs="仿宋"/>
          <w:sz w:val="32"/>
          <w:szCs w:val="32"/>
          <w:lang w:val="en-US" w:eastAsia="zh-CN" w:bidi="zh-CN"/>
        </w:rPr>
        <w:t>洛阳市西工区邙岭路办事处关于“抗疫国债”--补助</w:t>
      </w:r>
      <w:r>
        <w:rPr>
          <w:rFonts w:hint="eastAsia" w:cs="仿宋"/>
          <w:sz w:val="32"/>
          <w:szCs w:val="32"/>
          <w:lang w:val="en-US" w:eastAsia="zh-CN" w:bidi="zh-CN"/>
        </w:rPr>
        <w:t>及</w:t>
      </w:r>
      <w:r>
        <w:rPr>
          <w:rFonts w:hint="eastAsia" w:ascii="仿宋" w:hAnsi="仿宋" w:eastAsia="仿宋" w:cs="仿宋"/>
          <w:sz w:val="32"/>
          <w:szCs w:val="32"/>
          <w:lang w:val="en-US" w:eastAsia="zh-CN" w:bidi="zh-CN"/>
        </w:rPr>
        <w:t>“抗疫国债”--</w:t>
      </w:r>
      <w:r>
        <w:rPr>
          <w:rFonts w:hint="eastAsia" w:cs="仿宋"/>
          <w:sz w:val="32"/>
          <w:szCs w:val="32"/>
          <w:lang w:val="en-US" w:eastAsia="zh-CN" w:bidi="zh-CN"/>
        </w:rPr>
        <w:t>物资项目</w:t>
      </w:r>
      <w:r>
        <w:t>进</w:t>
      </w:r>
      <w:r>
        <w:rPr>
          <w:spacing w:val="-9"/>
        </w:rPr>
        <w:t>行客观评价，</w:t>
      </w:r>
      <w:r>
        <w:rPr>
          <w:rFonts w:hint="eastAsia"/>
          <w:spacing w:val="-9"/>
          <w:lang w:eastAsia="zh-CN"/>
        </w:rPr>
        <w:t>问卷调查满意度为满意。</w:t>
      </w:r>
    </w:p>
    <w:p>
      <w:pPr>
        <w:spacing w:before="190"/>
        <w:ind w:left="711"/>
        <w:rPr>
          <w:rFonts w:hint="eastAsia" w:ascii="黑体" w:eastAsia="黑体"/>
          <w:sz w:val="30"/>
        </w:rPr>
      </w:pPr>
      <w:r>
        <w:rPr>
          <w:rFonts w:hint="eastAsia" w:ascii="黑体" w:eastAsia="黑体"/>
          <w:sz w:val="30"/>
        </w:rPr>
        <w:t>九、政府性基金预算财政拨款支出决算情况说明</w:t>
      </w:r>
    </w:p>
    <w:p>
      <w:pPr>
        <w:pStyle w:val="3"/>
        <w:spacing w:before="177" w:line="338" w:lineRule="auto"/>
        <w:ind w:left="111" w:right="410" w:firstLine="640"/>
        <w:jc w:val="both"/>
        <w:rPr>
          <w:rFonts w:hint="eastAsia" w:eastAsia="仿宋"/>
          <w:lang w:eastAsia="zh-CN"/>
        </w:rPr>
      </w:pPr>
      <w:r>
        <w:rPr>
          <w:rFonts w:ascii="Times New Roman" w:eastAsia="Times New Roman"/>
        </w:rPr>
        <w:t xml:space="preserve">2020 </w:t>
      </w:r>
      <w:r>
        <w:rPr>
          <w:spacing w:val="-5"/>
        </w:rPr>
        <w:t>年度政府性基金预算财政拨款支出决算为</w:t>
      </w:r>
      <w:r>
        <w:rPr>
          <w:rFonts w:hint="eastAsia" w:ascii="Times New Roman" w:eastAsia="宋体"/>
          <w:lang w:val="en-US" w:eastAsia="zh-CN"/>
        </w:rPr>
        <w:t>60</w:t>
      </w:r>
      <w:r>
        <w:t>万</w:t>
      </w:r>
      <w:r>
        <w:rPr>
          <w:spacing w:val="-11"/>
          <w:w w:val="95"/>
        </w:rPr>
        <w:t>元。该资金为本年度上级下达转移支付资金，主要用于</w:t>
      </w:r>
      <w:r>
        <w:rPr>
          <w:rFonts w:hint="eastAsia"/>
          <w:spacing w:val="-11"/>
          <w:w w:val="95"/>
        </w:rPr>
        <w:t>抗疫特别国债安排的支出</w:t>
      </w:r>
      <w:r>
        <w:rPr>
          <w:spacing w:val="-17"/>
        </w:rPr>
        <w:t>。其中</w:t>
      </w:r>
      <w:r>
        <w:rPr>
          <w:rFonts w:hint="eastAsia"/>
          <w:spacing w:val="-17"/>
        </w:rPr>
        <w:t>：</w:t>
      </w:r>
      <w:r>
        <w:rPr>
          <w:rFonts w:hint="eastAsia"/>
          <w:spacing w:val="-11"/>
          <w:w w:val="95"/>
        </w:rPr>
        <w:t>抗疫特别国债安排的支出</w:t>
      </w:r>
      <w:r>
        <w:rPr>
          <w:rFonts w:hint="eastAsia"/>
          <w:spacing w:val="-11"/>
          <w:w w:val="95"/>
          <w:lang w:eastAsia="zh-CN"/>
        </w:rPr>
        <w:t>为</w:t>
      </w:r>
      <w:r>
        <w:rPr>
          <w:rFonts w:hint="default" w:ascii="Times New Roman" w:eastAsia="Times New Roman"/>
          <w:lang w:val="en-US" w:eastAsia="zh-CN"/>
        </w:rPr>
        <w:t>60</w:t>
      </w:r>
      <w:r>
        <w:rPr>
          <w:rFonts w:hint="eastAsia"/>
          <w:spacing w:val="-11"/>
          <w:w w:val="95"/>
          <w:lang w:val="en-US" w:eastAsia="zh-CN"/>
        </w:rPr>
        <w:t>万元</w:t>
      </w:r>
      <w:r>
        <w:rPr>
          <w:spacing w:val="4"/>
        </w:rPr>
        <w:t>，主要</w:t>
      </w:r>
      <w:r>
        <w:rPr>
          <w:spacing w:val="-4"/>
        </w:rPr>
        <w:t>原因</w:t>
      </w:r>
      <w:r>
        <w:rPr>
          <w:rFonts w:hint="default" w:ascii="Times New Roman" w:eastAsia="Times New Roman"/>
        </w:rPr>
        <w:t>2020</w:t>
      </w:r>
      <w:r>
        <w:rPr>
          <w:spacing w:val="-34"/>
        </w:rPr>
        <w:t>年新冠肺炎疫情突发，</w:t>
      </w:r>
      <w:r>
        <w:rPr>
          <w:rFonts w:hint="eastAsia"/>
          <w:spacing w:val="-34"/>
          <w:lang w:eastAsia="zh-CN"/>
        </w:rPr>
        <w:t>加</w:t>
      </w:r>
      <w:r>
        <w:rPr>
          <w:spacing w:val="-34"/>
        </w:rPr>
        <w:t xml:space="preserve">大了疫情防控经费投入 </w:t>
      </w:r>
      <w:r>
        <w:rPr>
          <w:rFonts w:hint="eastAsia"/>
          <w:spacing w:val="-34"/>
          <w:lang w:eastAsia="zh-CN"/>
        </w:rPr>
        <w:t>。</w:t>
      </w:r>
    </w:p>
    <w:p>
      <w:pPr>
        <w:spacing w:before="31"/>
        <w:ind w:left="711"/>
        <w:rPr>
          <w:rFonts w:hint="eastAsia" w:ascii="黑体" w:eastAsia="黑体"/>
          <w:sz w:val="30"/>
        </w:rPr>
      </w:pPr>
      <w:r>
        <w:rPr>
          <w:rFonts w:hint="eastAsia" w:ascii="黑体" w:eastAsia="黑体"/>
          <w:sz w:val="30"/>
        </w:rPr>
        <w:t>十、机关运行经费支出情况说明</w:t>
      </w:r>
    </w:p>
    <w:p>
      <w:pPr>
        <w:pStyle w:val="3"/>
        <w:spacing w:before="174" w:line="338" w:lineRule="auto"/>
        <w:ind w:left="111" w:right="216" w:firstLine="640"/>
        <w:rPr>
          <w:highlight w:val="none"/>
        </w:rPr>
      </w:pPr>
      <w:r>
        <w:rPr>
          <w:rFonts w:ascii="Times New Roman" w:eastAsia="Times New Roman"/>
        </w:rPr>
        <w:t>2020</w:t>
      </w:r>
      <w:r>
        <w:t>年度机关运行经费</w:t>
      </w:r>
      <w:r>
        <w:rPr>
          <w:highlight w:val="none"/>
        </w:rPr>
        <w:t>年初预算为</w:t>
      </w:r>
      <w:r>
        <w:rPr>
          <w:rFonts w:hint="eastAsia" w:ascii="Times New Roman" w:eastAsia="宋体"/>
          <w:highlight w:val="none"/>
          <w:lang w:val="en-US" w:eastAsia="zh-CN"/>
        </w:rPr>
        <w:t>416.58</w:t>
      </w:r>
      <w:r>
        <w:rPr>
          <w:highlight w:val="none"/>
        </w:rPr>
        <w:t xml:space="preserve">万元，支出决算数为 </w:t>
      </w:r>
      <w:r>
        <w:rPr>
          <w:rFonts w:hint="eastAsia" w:ascii="Times New Roman" w:eastAsia="宋体"/>
          <w:highlight w:val="none"/>
          <w:lang w:val="en-US" w:eastAsia="zh-CN"/>
        </w:rPr>
        <w:t>417.06</w:t>
      </w:r>
      <w:r>
        <w:rPr>
          <w:highlight w:val="none"/>
        </w:rPr>
        <w:t>元，完成年初预算的</w:t>
      </w:r>
      <w:r>
        <w:rPr>
          <w:rFonts w:hint="eastAsia" w:ascii="Times New Roman" w:eastAsia="宋体"/>
          <w:highlight w:val="none"/>
          <w:lang w:val="en-US" w:eastAsia="zh-CN"/>
        </w:rPr>
        <w:t>100.16</w:t>
      </w:r>
      <w:r>
        <w:rPr>
          <w:rFonts w:ascii="Times New Roman" w:eastAsia="Times New Roman"/>
          <w:highlight w:val="none"/>
        </w:rPr>
        <w:t>%</w:t>
      </w:r>
      <w:r>
        <w:rPr>
          <w:highlight w:val="none"/>
        </w:rPr>
        <w:t>。决算数与年初预算数存在差异的主要原因</w:t>
      </w:r>
      <w:r>
        <w:rPr>
          <w:rFonts w:hint="eastAsia"/>
          <w:highlight w:val="none"/>
          <w:lang w:eastAsia="zh-CN"/>
        </w:rPr>
        <w:t>是：行政运行和机关服务支出增加</w:t>
      </w:r>
      <w:r>
        <w:rPr>
          <w:highlight w:val="none"/>
        </w:rPr>
        <w:t>。</w:t>
      </w:r>
    </w:p>
    <w:p>
      <w:pPr>
        <w:keepNext w:val="0"/>
        <w:keepLines w:val="0"/>
        <w:pageBreakBefore w:val="0"/>
        <w:widowControl w:val="0"/>
        <w:kinsoku/>
        <w:wordWrap/>
        <w:overflowPunct/>
        <w:topLinePunct w:val="0"/>
        <w:autoSpaceDE w:val="0"/>
        <w:autoSpaceDN w:val="0"/>
        <w:bidi w:val="0"/>
        <w:adjustRightInd/>
        <w:snapToGrid/>
        <w:spacing w:before="29" w:line="360" w:lineRule="auto"/>
        <w:ind w:left="711"/>
        <w:textAlignment w:val="auto"/>
        <w:rPr>
          <w:rFonts w:hint="eastAsia" w:ascii="黑体" w:eastAsia="黑体"/>
          <w:sz w:val="30"/>
        </w:rPr>
      </w:pPr>
      <w:r>
        <w:rPr>
          <w:rFonts w:hint="eastAsia" w:ascii="黑体" w:eastAsia="黑体"/>
          <w:sz w:val="30"/>
        </w:rPr>
        <w:t>十一、政府采购支出情况说明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highlight w:val="none"/>
        </w:rPr>
      </w:pP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190.42</w:t>
      </w:r>
      <w:r>
        <w:rPr>
          <w:rFonts w:hint="eastAsia" w:ascii="仿宋" w:hAnsi="仿宋" w:eastAsia="仿宋" w:cs="仿宋"/>
          <w:sz w:val="32"/>
          <w:szCs w:val="32"/>
          <w:highlight w:val="none"/>
        </w:rPr>
        <w:t>万元，其中政府采购服务支出</w:t>
      </w:r>
      <w:r>
        <w:rPr>
          <w:rFonts w:hint="eastAsia" w:ascii="仿宋" w:hAnsi="仿宋" w:eastAsia="仿宋" w:cs="仿宋"/>
          <w:sz w:val="32"/>
          <w:szCs w:val="32"/>
          <w:highlight w:val="none"/>
          <w:lang w:val="en-US" w:eastAsia="zh-CN"/>
        </w:rPr>
        <w:t>190.42</w:t>
      </w:r>
      <w:r>
        <w:rPr>
          <w:rFonts w:hint="eastAsia" w:ascii="仿宋" w:hAnsi="仿宋" w:eastAsia="仿宋" w:cs="仿宋"/>
          <w:sz w:val="32"/>
          <w:szCs w:val="32"/>
          <w:highlight w:val="none"/>
        </w:rPr>
        <w:t>万元。</w:t>
      </w:r>
    </w:p>
    <w:p>
      <w:pPr>
        <w:numPr>
          <w:ilvl w:val="0"/>
          <w:numId w:val="3"/>
        </w:numPr>
        <w:spacing w:before="26"/>
        <w:ind w:left="711"/>
        <w:rPr>
          <w:rFonts w:hint="eastAsia" w:ascii="黑体" w:eastAsia="黑体"/>
          <w:sz w:val="30"/>
        </w:rPr>
      </w:pPr>
      <w:r>
        <w:rPr>
          <w:rFonts w:hint="eastAsia" w:ascii="黑体" w:eastAsia="黑体"/>
          <w:sz w:val="30"/>
        </w:rPr>
        <w:t>国有资产占用情况说明</w:t>
      </w:r>
    </w:p>
    <w:p>
      <w:pPr>
        <w:pStyle w:val="3"/>
        <w:keepNext w:val="0"/>
        <w:keepLines w:val="0"/>
        <w:pageBreakBefore w:val="0"/>
        <w:widowControl w:val="0"/>
        <w:kinsoku/>
        <w:wordWrap/>
        <w:overflowPunct/>
        <w:topLinePunct w:val="0"/>
        <w:autoSpaceDE w:val="0"/>
        <w:autoSpaceDN w:val="0"/>
        <w:bidi w:val="0"/>
        <w:adjustRightInd/>
        <w:snapToGrid/>
        <w:spacing w:before="174" w:line="360" w:lineRule="auto"/>
        <w:ind w:right="408" w:firstLine="640" w:firstLineChars="200"/>
        <w:jc w:val="left"/>
        <w:textAlignment w:val="auto"/>
        <w:rPr>
          <w:sz w:val="20"/>
        </w:rPr>
      </w:pPr>
      <w:r>
        <w:rPr>
          <w:rFonts w:ascii="Times New Roman" w:eastAsia="Times New Roman"/>
        </w:rPr>
        <w:t>2020</w:t>
      </w:r>
      <w:r>
        <w:rPr>
          <w:spacing w:val="-4"/>
        </w:rPr>
        <w:t>年期末，我部门共有车辆</w:t>
      </w:r>
      <w:r>
        <w:rPr>
          <w:rFonts w:hint="eastAsia" w:ascii="Times New Roman" w:eastAsia="Times New Roman"/>
          <w:lang w:val="en-US" w:eastAsia="zh-CN"/>
        </w:rPr>
        <w:t>2</w:t>
      </w:r>
      <w:r>
        <w:rPr>
          <w:spacing w:val="4"/>
        </w:rPr>
        <w:t>辆，其中：应急保障用</w:t>
      </w:r>
      <w:r>
        <w:rPr>
          <w:spacing w:val="-41"/>
        </w:rPr>
        <w:t>车</w:t>
      </w:r>
      <w:r>
        <w:rPr>
          <w:rFonts w:hint="eastAsia" w:ascii="Times New Roman" w:eastAsia="Times New Roman"/>
          <w:lang w:val="en-US" w:eastAsia="zh-CN"/>
        </w:rPr>
        <w:t>0</w:t>
      </w:r>
      <w:r>
        <w:rPr>
          <w:rFonts w:hint="eastAsia"/>
          <w:spacing w:val="-41"/>
          <w:lang w:val="en-US" w:eastAsia="zh-CN"/>
        </w:rPr>
        <w:t>辆</w:t>
      </w:r>
      <w:r>
        <w:rPr>
          <w:spacing w:val="-16"/>
        </w:rPr>
        <w:t>、执法执勤用车</w:t>
      </w:r>
      <w:r>
        <w:rPr>
          <w:rFonts w:hint="eastAsia" w:ascii="Times New Roman" w:eastAsia="Times New Roman"/>
          <w:lang w:val="en-US" w:eastAsia="zh-CN"/>
        </w:rPr>
        <w:t>0</w:t>
      </w:r>
      <w:r>
        <w:rPr>
          <w:spacing w:val="-13"/>
        </w:rPr>
        <w:t>辆、特种专业技术用车</w:t>
      </w:r>
      <w:r>
        <w:rPr>
          <w:rFonts w:hint="eastAsia" w:ascii="Times New Roman" w:eastAsia="Times New Roman"/>
          <w:lang w:val="en-US" w:eastAsia="zh-CN"/>
        </w:rPr>
        <w:t>0</w:t>
      </w:r>
      <w:r>
        <w:rPr>
          <w:spacing w:val="-9"/>
        </w:rPr>
        <w:t>辆、其他用</w:t>
      </w:r>
      <w:r>
        <w:t>车</w:t>
      </w:r>
      <w:r>
        <w:rPr>
          <w:rFonts w:hint="eastAsia" w:ascii="Times New Roman" w:eastAsia="Times New Roman"/>
          <w:lang w:val="en-US" w:eastAsia="zh-CN"/>
        </w:rPr>
        <w:t>2</w:t>
      </w:r>
      <w:r>
        <w:t>辆；单位价值</w:t>
      </w:r>
      <w:r>
        <w:rPr>
          <w:rFonts w:hint="eastAsia" w:ascii="Times New Roman" w:eastAsia="Times New Roman"/>
          <w:lang w:val="en-US" w:eastAsia="zh-CN"/>
        </w:rPr>
        <w:t>50</w:t>
      </w:r>
      <w:r>
        <w:t>万元以上通用设备</w:t>
      </w:r>
      <w:r>
        <w:rPr>
          <w:rFonts w:hint="eastAsia" w:ascii="Times New Roman" w:eastAsia="Times New Roman"/>
          <w:lang w:val="en-US" w:eastAsia="zh-CN"/>
        </w:rPr>
        <w:t>0</w:t>
      </w:r>
      <w:r>
        <w:t>台（套），单位价值</w:t>
      </w:r>
      <w:r>
        <w:rPr>
          <w:rFonts w:hint="eastAsia" w:ascii="Times New Roman" w:eastAsia="Times New Roman"/>
          <w:lang w:val="en-US" w:eastAsia="zh-CN"/>
        </w:rPr>
        <w:t>100</w:t>
      </w:r>
      <w:r>
        <w:t>万元以上专用备</w:t>
      </w:r>
      <w:r>
        <w:rPr>
          <w:rFonts w:hint="eastAsia" w:ascii="Times New Roman" w:eastAsia="Times New Roman"/>
          <w:lang w:val="en-US" w:eastAsia="zh-CN"/>
        </w:rPr>
        <w:t>0</w:t>
      </w:r>
      <w:r>
        <w:t>台（套）。</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val="zh-CN" w:eastAsia="zh-CN"/>
        </w:rPr>
        <w:sectPr>
          <w:pgSz w:w="11910" w:h="16840"/>
          <w:pgMar w:top="1580" w:right="1120" w:bottom="280" w:left="142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3"/>
        </w:rPr>
      </w:pPr>
    </w:p>
    <w:p>
      <w:pPr>
        <w:pStyle w:val="2"/>
        <w:tabs>
          <w:tab w:val="left" w:pos="2639"/>
        </w:tabs>
        <w:ind w:right="297"/>
        <w:rPr>
          <w:rFonts w:hint="eastAsia" w:eastAsia="宋体"/>
          <w:b/>
          <w:lang w:eastAsia="zh-CN"/>
        </w:rPr>
        <w:sectPr>
          <w:pgSz w:w="11910" w:h="16840"/>
          <w:pgMar w:top="1580" w:right="1120" w:bottom="280" w:left="1420" w:header="720" w:footer="720" w:gutter="0"/>
          <w:cols w:space="720" w:num="1"/>
        </w:sectPr>
      </w:pPr>
      <w:r>
        <w:rPr>
          <w:b/>
        </w:rPr>
        <w:t>第四部分</w:t>
      </w:r>
      <w:r>
        <w:rPr>
          <w:b/>
        </w:rPr>
        <w:tab/>
      </w:r>
      <w:r>
        <w:rPr>
          <w:b/>
        </w:rPr>
        <w:t>名词</w:t>
      </w:r>
      <w:r>
        <w:rPr>
          <w:rFonts w:hint="eastAsia"/>
          <w:b/>
          <w:lang w:eastAsia="zh-CN"/>
        </w:rPr>
        <w:t>解释</w:t>
      </w:r>
    </w:p>
    <w:p>
      <w:pPr>
        <w:pStyle w:val="3"/>
        <w:spacing w:before="9"/>
        <w:rPr>
          <w:rFonts w:ascii="宋体"/>
          <w:sz w:val="17"/>
        </w:rPr>
      </w:pPr>
    </w:p>
    <w:p>
      <w:pPr>
        <w:pStyle w:val="3"/>
        <w:spacing w:before="55" w:line="345" w:lineRule="auto"/>
        <w:ind w:left="111" w:right="411" w:firstLine="640"/>
      </w:pPr>
      <w:r>
        <w:rPr>
          <w:rFonts w:hint="eastAsia" w:ascii="楷体" w:eastAsia="楷体"/>
          <w:spacing w:val="-8"/>
          <w:w w:val="95"/>
        </w:rPr>
        <w:t>一、财政拨款收入</w:t>
      </w:r>
      <w:r>
        <w:rPr>
          <w:spacing w:val="-8"/>
          <w:w w:val="95"/>
        </w:rPr>
        <w:t xml:space="preserve">：单位从同级政府财政部门取得的财政预 </w:t>
      </w:r>
      <w:r>
        <w:rPr>
          <w:spacing w:val="-8"/>
        </w:rPr>
        <w:t>算资金。</w:t>
      </w:r>
    </w:p>
    <w:p>
      <w:pPr>
        <w:pStyle w:val="3"/>
        <w:spacing w:line="345" w:lineRule="auto"/>
        <w:ind w:left="111" w:right="409" w:firstLine="640"/>
      </w:pPr>
      <w:r>
        <w:rPr>
          <w:rFonts w:hint="eastAsia" w:ascii="楷体" w:eastAsia="楷体"/>
          <w:spacing w:val="-17"/>
          <w:w w:val="95"/>
        </w:rPr>
        <w:t>二、事业收入：</w:t>
      </w:r>
      <w:r>
        <w:rPr>
          <w:w w:val="95"/>
        </w:rPr>
        <w:t xml:space="preserve">事业单位开展专业业务活动及其辅助活动取 </w:t>
      </w:r>
      <w:r>
        <w:t>得的收入。</w:t>
      </w:r>
    </w:p>
    <w:p>
      <w:pPr>
        <w:pStyle w:val="3"/>
        <w:spacing w:line="343" w:lineRule="auto"/>
        <w:ind w:left="111" w:right="411" w:firstLine="640"/>
      </w:pPr>
      <w:r>
        <w:rPr>
          <w:rFonts w:hint="eastAsia" w:ascii="楷体" w:eastAsia="楷体"/>
          <w:spacing w:val="-14"/>
          <w:w w:val="95"/>
        </w:rPr>
        <w:t>三、上级补助收入：</w:t>
      </w:r>
      <w:r>
        <w:rPr>
          <w:w w:val="95"/>
        </w:rPr>
        <w:t xml:space="preserve">事业单位从主管部门和上级单位取得的 </w:t>
      </w:r>
      <w:r>
        <w:t>非财政补助收入。</w:t>
      </w:r>
    </w:p>
    <w:p>
      <w:pPr>
        <w:pStyle w:val="3"/>
        <w:spacing w:before="6" w:line="345" w:lineRule="auto"/>
        <w:ind w:left="111" w:right="409" w:firstLine="640"/>
      </w:pPr>
      <w:r>
        <w:rPr>
          <w:rFonts w:hint="eastAsia" w:ascii="楷体" w:eastAsia="楷体"/>
          <w:spacing w:val="-8"/>
        </w:rPr>
        <w:t>四、附属单位上缴收入</w:t>
      </w:r>
      <w:r>
        <w:rPr>
          <w:spacing w:val="-8"/>
        </w:rPr>
        <w:t>：事业单位取得附属独立核算单位根据有关规定上缴的收入。</w:t>
      </w:r>
    </w:p>
    <w:p>
      <w:pPr>
        <w:pStyle w:val="3"/>
        <w:spacing w:line="345" w:lineRule="auto"/>
        <w:ind w:left="111" w:right="409" w:firstLine="640"/>
      </w:pPr>
      <w:r>
        <w:rPr>
          <w:rFonts w:hint="eastAsia" w:ascii="楷体" w:eastAsia="楷体"/>
          <w:spacing w:val="-10"/>
          <w:w w:val="95"/>
        </w:rPr>
        <w:t>五、经营收入</w:t>
      </w:r>
      <w:r>
        <w:rPr>
          <w:spacing w:val="-8"/>
          <w:w w:val="95"/>
        </w:rPr>
        <w:t xml:space="preserve">：事业单位在专业业务活动及其辅助活动之外 </w:t>
      </w:r>
      <w:r>
        <w:rPr>
          <w:spacing w:val="-8"/>
        </w:rPr>
        <w:t>开展非独立核算经营活动取得的收入。</w:t>
      </w:r>
    </w:p>
    <w:p>
      <w:pPr>
        <w:pStyle w:val="3"/>
        <w:spacing w:line="345" w:lineRule="auto"/>
        <w:ind w:left="111" w:right="250" w:firstLine="640"/>
      </w:pPr>
      <w:r>
        <w:rPr>
          <w:rFonts w:hint="eastAsia" w:ascii="楷体" w:hAnsi="楷体" w:eastAsia="楷体"/>
          <w:spacing w:val="-13"/>
          <w:w w:val="95"/>
        </w:rPr>
        <w:t>六、其他收入</w:t>
      </w:r>
      <w:r>
        <w:rPr>
          <w:spacing w:val="-12"/>
          <w:w w:val="95"/>
        </w:rPr>
        <w:t>：单位取得的除</w:t>
      </w:r>
      <w:r>
        <w:rPr>
          <w:rFonts w:ascii="Times New Roman" w:hAnsi="Times New Roman" w:eastAsia="Times New Roman"/>
          <w:w w:val="95"/>
        </w:rPr>
        <w:t>“</w:t>
      </w:r>
      <w:r>
        <w:rPr>
          <w:w w:val="95"/>
        </w:rPr>
        <w:t>财政拨款收入</w:t>
      </w:r>
      <w:r>
        <w:rPr>
          <w:rFonts w:ascii="Times New Roman" w:hAnsi="Times New Roman" w:eastAsia="Times New Roman"/>
          <w:w w:val="95"/>
        </w:rPr>
        <w:t>”</w:t>
      </w:r>
      <w:r>
        <w:rPr>
          <w:spacing w:val="-67"/>
          <w:w w:val="95"/>
        </w:rPr>
        <w:t>、</w:t>
      </w:r>
      <w:r>
        <w:rPr>
          <w:rFonts w:ascii="Times New Roman" w:hAnsi="Times New Roman" w:eastAsia="Times New Roman"/>
          <w:w w:val="95"/>
        </w:rPr>
        <w:t>“</w:t>
      </w:r>
      <w:r>
        <w:rPr>
          <w:w w:val="95"/>
        </w:rPr>
        <w:t>事业收入</w:t>
      </w:r>
      <w:r>
        <w:rPr>
          <w:rFonts w:ascii="Times New Roman" w:hAnsi="Times New Roman" w:eastAsia="Times New Roman"/>
          <w:w w:val="95"/>
        </w:rPr>
        <w:t>”</w:t>
      </w:r>
      <w:r>
        <w:rPr>
          <w:w w:val="95"/>
        </w:rPr>
        <w:t xml:space="preserve">、  </w:t>
      </w:r>
      <w:r>
        <w:rPr>
          <w:rFonts w:ascii="Times New Roman" w:hAnsi="Times New Roman" w:eastAsia="Times New Roman"/>
        </w:rPr>
        <w:t>“</w:t>
      </w:r>
      <w:r>
        <w:t>上级补助收入</w:t>
      </w:r>
      <w:r>
        <w:rPr>
          <w:rFonts w:ascii="Times New Roman" w:hAnsi="Times New Roman" w:eastAsia="Times New Roman"/>
        </w:rPr>
        <w:t>”</w:t>
      </w:r>
      <w:r>
        <w:rPr>
          <w:spacing w:val="-5"/>
        </w:rPr>
        <w:t>、</w:t>
      </w:r>
      <w:r>
        <w:rPr>
          <w:rFonts w:ascii="Times New Roman" w:hAnsi="Times New Roman" w:eastAsia="Times New Roman"/>
        </w:rPr>
        <w:t>“</w:t>
      </w:r>
      <w:r>
        <w:t>附属单位上缴收入</w:t>
      </w:r>
      <w:r>
        <w:rPr>
          <w:rFonts w:ascii="Times New Roman" w:hAnsi="Times New Roman" w:eastAsia="Times New Roman"/>
        </w:rPr>
        <w:t>”</w:t>
      </w:r>
      <w:r>
        <w:rPr>
          <w:spacing w:val="-5"/>
        </w:rPr>
        <w:t>、</w:t>
      </w:r>
      <w:r>
        <w:rPr>
          <w:rFonts w:ascii="Times New Roman" w:hAnsi="Times New Roman" w:eastAsia="Times New Roman"/>
        </w:rPr>
        <w:t>“</w:t>
      </w:r>
      <w:r>
        <w:t>经营收入</w:t>
      </w:r>
      <w:r>
        <w:rPr>
          <w:rFonts w:ascii="Times New Roman" w:hAnsi="Times New Roman" w:eastAsia="Times New Roman"/>
        </w:rPr>
        <w:t>”</w:t>
      </w:r>
      <w:r>
        <w:t>以外的各项收入。</w:t>
      </w:r>
    </w:p>
    <w:p>
      <w:pPr>
        <w:pStyle w:val="3"/>
        <w:spacing w:line="345" w:lineRule="auto"/>
        <w:ind w:left="111" w:right="409" w:firstLine="640"/>
        <w:jc w:val="both"/>
      </w:pPr>
      <w:r>
        <w:rPr>
          <w:rFonts w:hint="eastAsia" w:ascii="楷体" w:eastAsia="楷体"/>
          <w:spacing w:val="-8"/>
        </w:rPr>
        <w:t>七、用事业基金弥补收支差额</w:t>
      </w:r>
      <w:r>
        <w:rPr>
          <w:spacing w:val="-8"/>
        </w:rPr>
        <w:t>：事业单位在当年收入不足以</w:t>
      </w:r>
      <w:r>
        <w:rPr>
          <w:spacing w:val="-14"/>
          <w:w w:val="95"/>
        </w:rPr>
        <w:t>安排当年支出的情况下，使用以前年度积累的事业基金</w:t>
      </w:r>
      <w:r>
        <w:rPr>
          <w:w w:val="95"/>
        </w:rPr>
        <w:t xml:space="preserve">（事业单 </w:t>
      </w:r>
      <w:r>
        <w:rPr>
          <w:spacing w:val="-8"/>
        </w:rPr>
        <w:t>位当年收支相抵后按国家规定提取、用于弥补以后年度收支差额的基金）弥补当年收支缺口的资金。</w:t>
      </w:r>
    </w:p>
    <w:p>
      <w:pPr>
        <w:pStyle w:val="3"/>
        <w:spacing w:line="345" w:lineRule="auto"/>
        <w:ind w:left="111" w:right="409" w:firstLine="640"/>
      </w:pPr>
      <w:r>
        <w:rPr>
          <w:rFonts w:hint="eastAsia" w:ascii="楷体" w:eastAsia="楷体"/>
          <w:spacing w:val="-8"/>
          <w:w w:val="95"/>
        </w:rPr>
        <w:t>八、基本支出</w:t>
      </w:r>
      <w:r>
        <w:rPr>
          <w:spacing w:val="-10"/>
          <w:w w:val="95"/>
        </w:rPr>
        <w:t xml:space="preserve">：为保障机构正常运转、完成日常工作任务而 </w:t>
      </w:r>
      <w:r>
        <w:rPr>
          <w:spacing w:val="-10"/>
        </w:rPr>
        <w:t>发生的人员支出和公用支出。</w:t>
      </w:r>
    </w:p>
    <w:p>
      <w:pPr>
        <w:pStyle w:val="3"/>
        <w:spacing w:line="345" w:lineRule="auto"/>
        <w:ind w:left="111" w:right="409" w:firstLine="640"/>
      </w:pPr>
      <w:r>
        <w:rPr>
          <w:rFonts w:hint="eastAsia" w:ascii="楷体" w:eastAsia="楷体"/>
          <w:spacing w:val="-17"/>
          <w:w w:val="95"/>
        </w:rPr>
        <w:t>九、项目支出：</w:t>
      </w:r>
      <w:r>
        <w:rPr>
          <w:w w:val="95"/>
        </w:rPr>
        <w:t xml:space="preserve">基本支出之外为完成特定行政任务和事业发 </w:t>
      </w:r>
      <w:r>
        <w:t>展目标所发生的支出。</w:t>
      </w:r>
    </w:p>
    <w:p>
      <w:pPr>
        <w:spacing w:line="345" w:lineRule="auto"/>
        <w:sectPr>
          <w:pgSz w:w="11910" w:h="16840"/>
          <w:pgMar w:top="1580" w:right="1120" w:bottom="280" w:left="1420" w:header="720" w:footer="720" w:gutter="0"/>
          <w:cols w:space="720" w:num="1"/>
        </w:sectPr>
      </w:pPr>
    </w:p>
    <w:p>
      <w:pPr>
        <w:pStyle w:val="3"/>
        <w:rPr>
          <w:sz w:val="20"/>
        </w:rPr>
      </w:pPr>
    </w:p>
    <w:p>
      <w:pPr>
        <w:pStyle w:val="3"/>
        <w:spacing w:before="12"/>
        <w:rPr>
          <w:sz w:val="16"/>
        </w:rPr>
      </w:pPr>
    </w:p>
    <w:p>
      <w:pPr>
        <w:pStyle w:val="3"/>
        <w:spacing w:before="65" w:line="345" w:lineRule="auto"/>
        <w:ind w:left="111" w:right="410" w:firstLine="640"/>
        <w:jc w:val="both"/>
      </w:pPr>
      <w:r>
        <w:rPr>
          <w:rFonts w:hint="eastAsia" w:ascii="楷体" w:hAnsi="楷体" w:eastAsia="楷体"/>
          <w:spacing w:val="-8"/>
          <w:w w:val="95"/>
        </w:rPr>
        <w:t>十、</w:t>
      </w:r>
      <w:r>
        <w:rPr>
          <w:rFonts w:ascii="Times New Roman" w:hAnsi="Times New Roman" w:eastAsia="Times New Roman"/>
          <w:w w:val="95"/>
        </w:rPr>
        <w:t>“</w:t>
      </w:r>
      <w:r>
        <w:rPr>
          <w:rFonts w:hint="eastAsia" w:ascii="楷体" w:hAnsi="楷体" w:eastAsia="楷体"/>
          <w:w w:val="95"/>
        </w:rPr>
        <w:t>三公</w:t>
      </w:r>
      <w:r>
        <w:rPr>
          <w:rFonts w:ascii="Times New Roman" w:hAnsi="Times New Roman" w:eastAsia="Times New Roman"/>
          <w:w w:val="95"/>
        </w:rPr>
        <w:t>”</w:t>
      </w:r>
      <w:r>
        <w:rPr>
          <w:rFonts w:hint="eastAsia" w:ascii="楷体" w:hAnsi="楷体" w:eastAsia="楷体"/>
          <w:w w:val="95"/>
        </w:rPr>
        <w:t>经费</w:t>
      </w:r>
      <w:r>
        <w:rPr>
          <w:spacing w:val="-4"/>
          <w:w w:val="95"/>
        </w:rPr>
        <w:t>：纳入同级财政预决算管理</w:t>
      </w:r>
      <w:r>
        <w:rPr>
          <w:rFonts w:ascii="Times New Roman" w:hAnsi="Times New Roman" w:eastAsia="Times New Roman"/>
          <w:w w:val="95"/>
        </w:rPr>
        <w:t>“</w:t>
      </w:r>
      <w:r>
        <w:rPr>
          <w:w w:val="95"/>
        </w:rPr>
        <w:t>三公</w:t>
      </w:r>
      <w:r>
        <w:rPr>
          <w:rFonts w:ascii="Times New Roman" w:hAnsi="Times New Roman" w:eastAsia="Times New Roman"/>
          <w:w w:val="95"/>
        </w:rPr>
        <w:t>”</w:t>
      </w:r>
      <w:r>
        <w:rPr>
          <w:spacing w:val="-3"/>
          <w:w w:val="95"/>
        </w:rPr>
        <w:t xml:space="preserve">经费，指 </w:t>
      </w:r>
      <w:r>
        <w:rPr>
          <w:spacing w:val="-6"/>
        </w:rPr>
        <w:t>部门使用财政拨款安排的因公出国</w:t>
      </w:r>
      <w:r>
        <w:t>（境</w:t>
      </w:r>
      <w:r>
        <w:rPr>
          <w:spacing w:val="-39"/>
        </w:rPr>
        <w:t>）</w:t>
      </w:r>
      <w:r>
        <w:rPr>
          <w:spacing w:val="-7"/>
        </w:rPr>
        <w:t>费、公务用车购置及运</w:t>
      </w:r>
      <w:r>
        <w:rPr>
          <w:spacing w:val="-13"/>
          <w:w w:val="95"/>
        </w:rPr>
        <w:t>行费和公务接待费。其中，因公出国</w:t>
      </w:r>
      <w:r>
        <w:rPr>
          <w:w w:val="95"/>
        </w:rPr>
        <w:t>（境</w:t>
      </w:r>
      <w:r>
        <w:rPr>
          <w:spacing w:val="-29"/>
          <w:w w:val="95"/>
        </w:rPr>
        <w:t>）</w:t>
      </w:r>
      <w:r>
        <w:rPr>
          <w:w w:val="95"/>
        </w:rPr>
        <w:t>费反映单位公务出国</w:t>
      </w:r>
    </w:p>
    <w:p>
      <w:pPr>
        <w:pStyle w:val="3"/>
        <w:spacing w:line="345" w:lineRule="auto"/>
        <w:ind w:left="111" w:right="409"/>
        <w:jc w:val="both"/>
      </w:pPr>
      <w:r>
        <w:t>（境</w:t>
      </w:r>
      <w:r>
        <w:rPr>
          <w:spacing w:val="-24"/>
        </w:rPr>
        <w:t>）</w:t>
      </w:r>
      <w:r>
        <w:rPr>
          <w:spacing w:val="-8"/>
        </w:rPr>
        <w:t>的国际旅费、国外城市间交通费、住宿费、伙食费、培训</w:t>
      </w:r>
      <w:r>
        <w:rPr>
          <w:spacing w:val="-12"/>
          <w:w w:val="95"/>
        </w:rPr>
        <w:t xml:space="preserve">费、公杂费等支出；公务用车购置及运行费反映单位公务用车车 </w:t>
      </w:r>
      <w:r>
        <w:rPr>
          <w:spacing w:val="-14"/>
          <w:w w:val="95"/>
        </w:rPr>
        <w:t>辆购置支出</w:t>
      </w:r>
      <w:r>
        <w:rPr>
          <w:w w:val="95"/>
        </w:rPr>
        <w:t>（含车辆购置税</w:t>
      </w:r>
      <w:r>
        <w:rPr>
          <w:spacing w:val="-22"/>
          <w:w w:val="95"/>
        </w:rPr>
        <w:t>）</w:t>
      </w:r>
      <w:r>
        <w:rPr>
          <w:spacing w:val="-10"/>
          <w:w w:val="95"/>
        </w:rPr>
        <w:t xml:space="preserve">及租用费、燃料费、维修费、过路 </w:t>
      </w:r>
      <w:r>
        <w:rPr>
          <w:spacing w:val="-14"/>
          <w:w w:val="95"/>
        </w:rPr>
        <w:t xml:space="preserve">过桥费、保险费、安全奖励费用等支出；公务接待费反映单位按 </w:t>
      </w:r>
      <w:r>
        <w:rPr>
          <w:spacing w:val="-14"/>
        </w:rPr>
        <w:t>规定开支的各类公务接待（含外宾接待）支出。</w:t>
      </w:r>
    </w:p>
    <w:p>
      <w:pPr>
        <w:pStyle w:val="3"/>
        <w:spacing w:line="345" w:lineRule="auto"/>
        <w:ind w:left="111" w:right="293" w:firstLine="640"/>
      </w:pPr>
      <w:r>
        <w:rPr>
          <w:rFonts w:hint="eastAsia" w:ascii="楷体" w:eastAsia="楷体"/>
          <w:spacing w:val="-6"/>
        </w:rPr>
        <w:t>十一、机关运行经费</w:t>
      </w:r>
      <w:r>
        <w:rPr>
          <w:spacing w:val="-11"/>
        </w:rPr>
        <w:t>：为保障行政单位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w:t>
      </w:r>
      <w:r>
        <w:rPr>
          <w:spacing w:val="-15"/>
        </w:rPr>
        <w:t>办公用房物业管理费、公务用车运行维护费以及其他费用。我部</w:t>
      </w:r>
      <w:r>
        <w:rPr>
          <w:spacing w:val="-16"/>
        </w:rPr>
        <w:t>门所属预算单位有市卫生健康委</w:t>
      </w:r>
      <w:r>
        <w:t>（本级</w:t>
      </w:r>
      <w:r>
        <w:rPr>
          <w:spacing w:val="-27"/>
        </w:rPr>
        <w:t>）</w:t>
      </w:r>
      <w:r>
        <w:rPr>
          <w:spacing w:val="-9"/>
        </w:rPr>
        <w:t>、市计划生育协会、市人口和计划生育药具管理站，具体预算内容包括公用经费、离</w:t>
      </w:r>
    </w:p>
    <w:p>
      <w:pPr>
        <w:pStyle w:val="3"/>
        <w:spacing w:line="408" w:lineRule="exact"/>
        <w:ind w:left="111"/>
      </w:pPr>
      <w:r>
        <w:t>（退）休人员公用支出、工会经费和福利费。</w:t>
      </w:r>
    </w:p>
    <w:p>
      <w:pPr>
        <w:pStyle w:val="3"/>
        <w:spacing w:before="178" w:line="345" w:lineRule="auto"/>
        <w:ind w:left="111" w:right="409" w:firstLine="640"/>
        <w:jc w:val="both"/>
      </w:pPr>
      <w:r>
        <w:rPr>
          <w:rFonts w:hint="eastAsia" w:ascii="楷体" w:eastAsia="楷体"/>
          <w:spacing w:val="-8"/>
          <w:w w:val="95"/>
        </w:rPr>
        <w:t>十二、工资福利支出</w:t>
      </w:r>
      <w:r>
        <w:rPr>
          <w:spacing w:val="-8"/>
          <w:w w:val="95"/>
        </w:rPr>
        <w:t xml:space="preserve">：单位支付给在职职工和编制外长期聘 </w:t>
      </w:r>
      <w:r>
        <w:rPr>
          <w:spacing w:val="-14"/>
          <w:w w:val="95"/>
        </w:rPr>
        <w:t xml:space="preserve">用人员的各类劳动报酬，以及为上述人员缴纳的各项社会保险费 </w:t>
      </w:r>
      <w:r>
        <w:rPr>
          <w:spacing w:val="-14"/>
        </w:rPr>
        <w:t>等。</w:t>
      </w:r>
    </w:p>
    <w:p>
      <w:pPr>
        <w:pStyle w:val="3"/>
        <w:spacing w:line="408" w:lineRule="exact"/>
        <w:ind w:left="751"/>
      </w:pPr>
      <w:r>
        <w:rPr>
          <w:rFonts w:hint="eastAsia" w:ascii="楷体" w:eastAsia="楷体"/>
        </w:rPr>
        <w:t>十三、商品和服务支出：</w:t>
      </w:r>
      <w:r>
        <w:t>单位购买商品和服务的支出。</w:t>
      </w:r>
    </w:p>
    <w:p>
      <w:pPr>
        <w:spacing w:line="408" w:lineRule="exact"/>
        <w:sectPr>
          <w:pgSz w:w="11910" w:h="16840"/>
          <w:pgMar w:top="1580" w:right="1120" w:bottom="280" w:left="1420" w:header="720" w:footer="720" w:gutter="0"/>
          <w:cols w:space="720" w:num="1"/>
        </w:sectPr>
      </w:pPr>
    </w:p>
    <w:p>
      <w:pPr>
        <w:pStyle w:val="3"/>
        <w:rPr>
          <w:sz w:val="20"/>
        </w:rPr>
      </w:pPr>
    </w:p>
    <w:p>
      <w:pPr>
        <w:pStyle w:val="3"/>
        <w:spacing w:before="9"/>
        <w:rPr>
          <w:sz w:val="17"/>
        </w:rPr>
      </w:pPr>
    </w:p>
    <w:p>
      <w:pPr>
        <w:pStyle w:val="3"/>
        <w:spacing w:before="55" w:line="345" w:lineRule="auto"/>
        <w:ind w:left="111" w:right="411" w:firstLine="640"/>
      </w:pPr>
      <w:r>
        <w:rPr>
          <w:rFonts w:hint="eastAsia" w:ascii="楷体" w:eastAsia="楷体"/>
          <w:spacing w:val="-8"/>
          <w:w w:val="95"/>
        </w:rPr>
        <w:t>十四、对个人和家庭的补助支出</w:t>
      </w:r>
      <w:r>
        <w:rPr>
          <w:spacing w:val="-8"/>
          <w:w w:val="95"/>
        </w:rPr>
        <w:t xml:space="preserve">：单位用于对个人和家庭的 </w:t>
      </w:r>
      <w:r>
        <w:rPr>
          <w:spacing w:val="-8"/>
        </w:rPr>
        <w:t>补助支出。</w:t>
      </w:r>
    </w:p>
    <w:p>
      <w:pPr>
        <w:pStyle w:val="3"/>
        <w:spacing w:line="345" w:lineRule="auto"/>
        <w:ind w:left="111" w:right="409" w:firstLine="640"/>
        <w:jc w:val="both"/>
      </w:pPr>
      <w:r>
        <w:rPr>
          <w:rFonts w:hint="eastAsia" w:ascii="楷体" w:eastAsia="楷体"/>
          <w:spacing w:val="-6"/>
        </w:rPr>
        <w:t>十五、年末结转</w:t>
      </w:r>
      <w:r>
        <w:rPr>
          <w:spacing w:val="-10"/>
        </w:rPr>
        <w:t>：本年度或以前年度预算安排，已执行但尚</w:t>
      </w:r>
      <w:r>
        <w:rPr>
          <w:spacing w:val="-15"/>
        </w:rPr>
        <w:t>未完成或因客观条件发生变化无法按原计划实施，需延迟到以后年度按有关规定继续使用的资金。</w:t>
      </w:r>
    </w:p>
    <w:p>
      <w:pPr>
        <w:pStyle w:val="3"/>
        <w:spacing w:line="345" w:lineRule="auto"/>
        <w:ind w:left="111" w:right="409" w:firstLine="640"/>
        <w:jc w:val="both"/>
        <w:rPr>
          <w:rFonts w:hint="eastAsia" w:eastAsia="仿宋"/>
          <w:lang w:eastAsia="zh-CN"/>
        </w:rPr>
        <w:sectPr>
          <w:pgSz w:w="11910" w:h="16840"/>
          <w:pgMar w:top="1580" w:right="1120" w:bottom="280" w:left="1420" w:header="720" w:footer="720" w:gutter="0"/>
          <w:cols w:space="720" w:num="1"/>
        </w:sectPr>
      </w:pPr>
      <w:r>
        <w:rPr>
          <w:rFonts w:hint="eastAsia" w:ascii="楷体" w:eastAsia="楷体"/>
          <w:spacing w:val="-6"/>
        </w:rPr>
        <w:t>十六、年末结余</w:t>
      </w:r>
      <w:r>
        <w:rPr>
          <w:spacing w:val="-10"/>
        </w:rPr>
        <w:t>：本年度或以前年度预算安排，已执行完毕</w:t>
      </w:r>
      <w:r>
        <w:rPr>
          <w:spacing w:val="-15"/>
        </w:rPr>
        <w:t>或因客观条件发生变化无法按原预算安排实施，不需要再使用或无法按原预算安排继续使用的资金</w:t>
      </w:r>
      <w:r>
        <w:rPr>
          <w:rFonts w:hint="eastAsia"/>
          <w:spacing w:val="-15"/>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380" w:lineRule="exact"/>
        <w:ind w:right="408"/>
        <w:jc w:val="both"/>
        <w:textAlignment w:val="auto"/>
        <w:rPr>
          <w:rFonts w:hint="default" w:eastAsia="仿宋"/>
          <w:lang w:val="en-US" w:eastAsia="zh-CN"/>
        </w:rPr>
      </w:pPr>
    </w:p>
    <w:sectPr>
      <w:pgSz w:w="11910" w:h="16840"/>
      <w:pgMar w:top="1580" w:right="1120" w:bottom="280" w:left="1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E18E"/>
    <w:multiLevelType w:val="singleLevel"/>
    <w:tmpl w:val="21E3E18E"/>
    <w:lvl w:ilvl="0" w:tentative="0">
      <w:start w:val="1"/>
      <w:numFmt w:val="chineseCounting"/>
      <w:lvlText w:val="第%1部分"/>
      <w:lvlJc w:val="left"/>
      <w:rPr>
        <w:rFonts w:hint="eastAsia"/>
      </w:rPr>
    </w:lvl>
  </w:abstractNum>
  <w:abstractNum w:abstractNumId="1">
    <w:nsid w:val="2562401B"/>
    <w:multiLevelType w:val="singleLevel"/>
    <w:tmpl w:val="2562401B"/>
    <w:lvl w:ilvl="0" w:tentative="0">
      <w:start w:val="12"/>
      <w:numFmt w:val="chineseCounting"/>
      <w:suff w:val="nothing"/>
      <w:lvlText w:val="%1、"/>
      <w:lvlJc w:val="left"/>
      <w:rPr>
        <w:rFonts w:hint="eastAsia"/>
      </w:rPr>
    </w:lvl>
  </w:abstractNum>
  <w:abstractNum w:abstractNumId="2">
    <w:nsid w:val="59ADCABA"/>
    <w:multiLevelType w:val="multilevel"/>
    <w:tmpl w:val="59ADCABA"/>
    <w:lvl w:ilvl="0" w:tentative="0">
      <w:start w:val="21"/>
      <w:numFmt w:val="decimal"/>
      <w:lvlText w:val="%1"/>
      <w:lvlJc w:val="left"/>
      <w:pPr>
        <w:ind w:left="111" w:hanging="804"/>
      </w:pPr>
      <w:rPr>
        <w:rFonts w:hint="default"/>
        <w:lang w:val="zh-CN" w:eastAsia="zh-CN" w:bidi="zh-CN"/>
      </w:rPr>
    </w:lvl>
    <w:lvl w:ilvl="1" w:tentative="0">
      <w:start w:val="21"/>
      <w:numFmt w:val="decimal"/>
      <w:lvlText w:val="%1.%2"/>
      <w:lvlJc w:val="left"/>
      <w:pPr>
        <w:ind w:left="111" w:hanging="804"/>
      </w:pPr>
      <w:rPr>
        <w:rFonts w:hint="default" w:ascii="Times New Roman" w:hAnsi="Times New Roman" w:eastAsia="Times New Roman" w:cs="Times New Roman"/>
        <w:spacing w:val="-1"/>
        <w:w w:val="99"/>
        <w:sz w:val="32"/>
        <w:szCs w:val="32"/>
        <w:lang w:val="zh-CN" w:eastAsia="zh-CN" w:bidi="zh-CN"/>
      </w:rPr>
    </w:lvl>
    <w:lvl w:ilvl="2" w:tentative="0">
      <w:start w:val="1"/>
      <w:numFmt w:val="decimal"/>
      <w:lvlText w:val="%3."/>
      <w:lvlJc w:val="left"/>
      <w:pPr>
        <w:ind w:left="993" w:hanging="242"/>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859" w:hanging="242"/>
      </w:pPr>
      <w:rPr>
        <w:rFonts w:hint="default"/>
        <w:lang w:val="zh-CN" w:eastAsia="zh-CN" w:bidi="zh-CN"/>
      </w:rPr>
    </w:lvl>
    <w:lvl w:ilvl="4" w:tentative="0">
      <w:start w:val="0"/>
      <w:numFmt w:val="bullet"/>
      <w:lvlText w:val="•"/>
      <w:lvlJc w:val="left"/>
      <w:pPr>
        <w:ind w:left="3788" w:hanging="242"/>
      </w:pPr>
      <w:rPr>
        <w:rFonts w:hint="default"/>
        <w:lang w:val="zh-CN" w:eastAsia="zh-CN" w:bidi="zh-CN"/>
      </w:rPr>
    </w:lvl>
    <w:lvl w:ilvl="5" w:tentative="0">
      <w:start w:val="0"/>
      <w:numFmt w:val="bullet"/>
      <w:lvlText w:val="•"/>
      <w:lvlJc w:val="left"/>
      <w:pPr>
        <w:ind w:left="4718" w:hanging="242"/>
      </w:pPr>
      <w:rPr>
        <w:rFonts w:hint="default"/>
        <w:lang w:val="zh-CN" w:eastAsia="zh-CN" w:bidi="zh-CN"/>
      </w:rPr>
    </w:lvl>
    <w:lvl w:ilvl="6" w:tentative="0">
      <w:start w:val="0"/>
      <w:numFmt w:val="bullet"/>
      <w:lvlText w:val="•"/>
      <w:lvlJc w:val="left"/>
      <w:pPr>
        <w:ind w:left="5647" w:hanging="242"/>
      </w:pPr>
      <w:rPr>
        <w:rFonts w:hint="default"/>
        <w:lang w:val="zh-CN" w:eastAsia="zh-CN" w:bidi="zh-CN"/>
      </w:rPr>
    </w:lvl>
    <w:lvl w:ilvl="7" w:tentative="0">
      <w:start w:val="0"/>
      <w:numFmt w:val="bullet"/>
      <w:lvlText w:val="•"/>
      <w:lvlJc w:val="left"/>
      <w:pPr>
        <w:ind w:left="6577" w:hanging="242"/>
      </w:pPr>
      <w:rPr>
        <w:rFonts w:hint="default"/>
        <w:lang w:val="zh-CN" w:eastAsia="zh-CN" w:bidi="zh-CN"/>
      </w:rPr>
    </w:lvl>
    <w:lvl w:ilvl="8" w:tentative="0">
      <w:start w:val="0"/>
      <w:numFmt w:val="bullet"/>
      <w:lvlText w:val="•"/>
      <w:lvlJc w:val="left"/>
      <w:pPr>
        <w:ind w:left="7506" w:hanging="242"/>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37"/>
    <w:rsid w:val="0010492D"/>
    <w:rsid w:val="002326B2"/>
    <w:rsid w:val="004A3588"/>
    <w:rsid w:val="004D4966"/>
    <w:rsid w:val="006D0737"/>
    <w:rsid w:val="006F3A27"/>
    <w:rsid w:val="007F55AB"/>
    <w:rsid w:val="0094532E"/>
    <w:rsid w:val="00A6385D"/>
    <w:rsid w:val="00D52634"/>
    <w:rsid w:val="00DC1014"/>
    <w:rsid w:val="0E057B9F"/>
    <w:rsid w:val="0E7D5FF5"/>
    <w:rsid w:val="175C4BFF"/>
    <w:rsid w:val="1A163D82"/>
    <w:rsid w:val="1AA04E00"/>
    <w:rsid w:val="2020745C"/>
    <w:rsid w:val="21CA67FE"/>
    <w:rsid w:val="250A1C4F"/>
    <w:rsid w:val="289F74DB"/>
    <w:rsid w:val="29D53431"/>
    <w:rsid w:val="34F062F0"/>
    <w:rsid w:val="3A6E340F"/>
    <w:rsid w:val="4A016AA9"/>
    <w:rsid w:val="4B38010A"/>
    <w:rsid w:val="4C3554BD"/>
    <w:rsid w:val="550A63E5"/>
    <w:rsid w:val="587A3D5F"/>
    <w:rsid w:val="5AC27B73"/>
    <w:rsid w:val="5D950D6B"/>
    <w:rsid w:val="5E5D3F05"/>
    <w:rsid w:val="628E757E"/>
    <w:rsid w:val="651F7B19"/>
    <w:rsid w:val="69DD7F76"/>
    <w:rsid w:val="6B494362"/>
    <w:rsid w:val="6EE21ACA"/>
    <w:rsid w:val="74A21550"/>
    <w:rsid w:val="76A0237F"/>
    <w:rsid w:val="77DA242F"/>
    <w:rsid w:val="7DAA2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34"/>
      <w:jc w:val="center"/>
      <w:outlineLvl w:val="0"/>
    </w:pPr>
    <w:rPr>
      <w:rFonts w:ascii="宋体" w:hAnsi="宋体" w:eastAsia="宋体" w:cs="宋体"/>
      <w:sz w:val="44"/>
      <w:szCs w:val="44"/>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link w:val="12"/>
    <w:qFormat/>
    <w:uiPriority w:val="1"/>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2"/>
    <w:rPr>
      <w:lang w:val="en-US" w:eastAsia="zh-CN" w:bidi="ar-SA"/>
    </w:rPr>
    <w:tblPr>
      <w:tblCellMar>
        <w:top w:w="0" w:type="dxa"/>
        <w:left w:w="0" w:type="dxa"/>
        <w:bottom w:w="0" w:type="dxa"/>
        <w:right w:w="0" w:type="dxa"/>
      </w:tblCellMar>
    </w:tblPr>
  </w:style>
  <w:style w:type="paragraph" w:styleId="9">
    <w:name w:val="List Paragraph"/>
    <w:basedOn w:val="1"/>
    <w:qFormat/>
    <w:uiPriority w:val="1"/>
    <w:pPr>
      <w:ind w:left="111" w:firstLine="640"/>
    </w:pPr>
    <w:rPr>
      <w:rFonts w:ascii="仿宋" w:hAnsi="仿宋" w:eastAsia="仿宋" w:cs="仿宋"/>
      <w:lang w:val="zh-CN" w:eastAsia="zh-CN" w:bidi="zh-CN"/>
    </w:rPr>
  </w:style>
  <w:style w:type="paragraph" w:customStyle="1" w:styleId="10">
    <w:name w:val="Table Paragraph"/>
    <w:basedOn w:val="1"/>
    <w:qFormat/>
    <w:uiPriority w:val="1"/>
    <w:pPr>
      <w:spacing w:before="52"/>
      <w:jc w:val="right"/>
    </w:pPr>
    <w:rPr>
      <w:rFonts w:ascii="Times New Roman" w:hAnsi="Times New Roman" w:eastAsia="Times New Roman" w:cs="Times New Roman"/>
      <w:lang w:val="zh-CN" w:eastAsia="zh-CN" w:bidi="zh-CN"/>
    </w:rPr>
  </w:style>
  <w:style w:type="paragraph" w:styleId="11">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2">
    <w:name w:val="正文文本 Char"/>
    <w:link w:val="3"/>
    <w:qFormat/>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911</Words>
  <Characters>5198</Characters>
  <Lines>43</Lines>
  <Paragraphs>12</Paragraphs>
  <TotalTime>127</TotalTime>
  <ScaleCrop>false</ScaleCrop>
  <LinksUpToDate>false</LinksUpToDate>
  <CharactersWithSpaces>6097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2021-10-28T01:09:00Z</dcterms:created>
  <dc:creator>微软用户</dc:creator>
  <cp:lastModifiedBy>Administrator</cp:lastModifiedBy>
  <cp:lastPrinted>2021-11-04T01:32:00Z</cp:lastPrinted>
  <dcterms:modified xsi:type="dcterms:W3CDTF">2021-11-05T07:26:23Z</dcterms:modified>
  <dc:title>2018年度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WPS 文字</vt:lpwstr>
  </property>
  <property fmtid="{D5CDD505-2E9C-101B-9397-08002B2CF9AE}" pid="4" name="LastSaved">
    <vt:filetime>2021-10-28T00:00:00Z</vt:filetime>
  </property>
  <property fmtid="{D5CDD505-2E9C-101B-9397-08002B2CF9AE}" pid="5" name="KSOProductBuildVer">
    <vt:lpwstr>2052-11.1.0.10314</vt:lpwstr>
  </property>
  <property fmtid="{D5CDD505-2E9C-101B-9397-08002B2CF9AE}" pid="6" name="ICV">
    <vt:lpwstr>A302375D0E1A457F8DDA8124D74E75C8</vt:lpwstr>
  </property>
</Properties>
</file>