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2"/>
        <w:rPr>
          <w:rFonts w:ascii="Times New Roman"/>
          <w:sz w:val="22"/>
        </w:rPr>
      </w:pPr>
    </w:p>
    <w:p>
      <w:pPr>
        <w:spacing w:before="28"/>
        <w:ind w:left="118" w:right="0" w:firstLine="0"/>
        <w:jc w:val="center"/>
        <w:rPr>
          <w:rFonts w:hint="eastAsia" w:ascii="黑体" w:eastAsia="黑体"/>
          <w:sz w:val="52"/>
        </w:rPr>
      </w:pPr>
      <w:r>
        <w:rPr>
          <w:rFonts w:hint="eastAsia" w:ascii="黑体" w:eastAsia="黑体"/>
          <w:sz w:val="52"/>
        </w:rPr>
        <w:t>2018 年度</w:t>
      </w:r>
    </w:p>
    <w:p>
      <w:pPr>
        <w:spacing w:before="284"/>
        <w:ind w:left="118" w:right="0" w:firstLine="0"/>
        <w:jc w:val="center"/>
        <w:rPr>
          <w:rFonts w:hint="eastAsia" w:ascii="黑体" w:eastAsia="黑体"/>
          <w:sz w:val="52"/>
        </w:rPr>
      </w:pPr>
      <w:r>
        <w:rPr>
          <w:rFonts w:hint="eastAsia" w:ascii="黑体" w:eastAsia="黑体"/>
          <w:sz w:val="52"/>
        </w:rPr>
        <w:t>西工区司法局部门决算</w:t>
      </w:r>
    </w:p>
    <w:p>
      <w:pPr>
        <w:pStyle w:val="4"/>
        <w:rPr>
          <w:rFonts w:ascii="黑体"/>
          <w:sz w:val="52"/>
        </w:rPr>
      </w:pPr>
    </w:p>
    <w:p>
      <w:pPr>
        <w:pStyle w:val="4"/>
        <w:rPr>
          <w:rFonts w:ascii="黑体"/>
          <w:sz w:val="52"/>
        </w:rPr>
      </w:pPr>
    </w:p>
    <w:p>
      <w:pPr>
        <w:pStyle w:val="4"/>
        <w:rPr>
          <w:rFonts w:ascii="黑体"/>
          <w:sz w:val="52"/>
        </w:rPr>
      </w:pPr>
    </w:p>
    <w:p>
      <w:pPr>
        <w:pStyle w:val="4"/>
        <w:rPr>
          <w:rFonts w:ascii="黑体"/>
          <w:sz w:val="52"/>
        </w:rPr>
      </w:pPr>
    </w:p>
    <w:p>
      <w:pPr>
        <w:pStyle w:val="4"/>
        <w:rPr>
          <w:rFonts w:ascii="黑体"/>
          <w:sz w:val="52"/>
        </w:rPr>
      </w:pPr>
    </w:p>
    <w:p>
      <w:pPr>
        <w:pStyle w:val="4"/>
        <w:rPr>
          <w:rFonts w:ascii="黑体"/>
          <w:sz w:val="52"/>
        </w:rPr>
      </w:pPr>
    </w:p>
    <w:p>
      <w:pPr>
        <w:pStyle w:val="4"/>
        <w:rPr>
          <w:rFonts w:ascii="黑体"/>
          <w:sz w:val="52"/>
        </w:rPr>
      </w:pPr>
    </w:p>
    <w:p>
      <w:pPr>
        <w:pStyle w:val="4"/>
        <w:rPr>
          <w:rFonts w:ascii="黑体"/>
          <w:sz w:val="52"/>
        </w:rPr>
      </w:pPr>
    </w:p>
    <w:p>
      <w:pPr>
        <w:pStyle w:val="4"/>
        <w:spacing w:before="3"/>
        <w:rPr>
          <w:rFonts w:ascii="黑体"/>
          <w:sz w:val="49"/>
        </w:rPr>
      </w:pPr>
    </w:p>
    <w:p>
      <w:pPr>
        <w:pStyle w:val="4"/>
        <w:ind w:left="112"/>
        <w:jc w:val="center"/>
        <w:rPr>
          <w:rFonts w:hint="eastAsia" w:ascii="黑体" w:eastAsia="黑体"/>
        </w:rPr>
      </w:pPr>
      <w:r>
        <w:rPr>
          <w:rFonts w:hint="eastAsia" w:ascii="黑体" w:eastAsia="黑体"/>
        </w:rPr>
        <w:t>二〇一九年九月</w:t>
      </w:r>
    </w:p>
    <w:p>
      <w:pPr>
        <w:spacing w:after="0"/>
        <w:jc w:val="center"/>
        <w:rPr>
          <w:rFonts w:hint="eastAsia" w:ascii="黑体" w:eastAsia="黑体"/>
        </w:rPr>
        <w:sectPr>
          <w:type w:val="continuous"/>
          <w:pgSz w:w="11910" w:h="16840"/>
          <w:pgMar w:top="1580" w:right="1540" w:bottom="280" w:left="1480" w:header="720" w:footer="720" w:gutter="0"/>
          <w:cols w:space="720" w:num="1"/>
        </w:sectPr>
      </w:pPr>
    </w:p>
    <w:p>
      <w:pPr>
        <w:pStyle w:val="4"/>
        <w:spacing w:before="4"/>
        <w:rPr>
          <w:rFonts w:ascii="Times New Roman"/>
          <w:sz w:val="17"/>
        </w:rPr>
      </w:pPr>
    </w:p>
    <w:p>
      <w:pPr>
        <w:spacing w:after="0"/>
        <w:rPr>
          <w:rFonts w:ascii="Times New Roman"/>
          <w:sz w:val="17"/>
        </w:rPr>
        <w:sectPr>
          <w:pgSz w:w="11910" w:h="16840"/>
          <w:pgMar w:top="1580" w:right="1540" w:bottom="280" w:left="1480" w:header="720" w:footer="720" w:gutter="0"/>
          <w:cols w:space="720" w:num="1"/>
        </w:sectPr>
      </w:pPr>
    </w:p>
    <w:p>
      <w:pPr>
        <w:tabs>
          <w:tab w:val="left" w:pos="1195"/>
        </w:tabs>
        <w:spacing w:before="27"/>
        <w:ind w:left="115" w:right="0" w:firstLine="0"/>
        <w:jc w:val="center"/>
        <w:rPr>
          <w:rFonts w:hint="eastAsia" w:ascii="黑体" w:eastAsia="黑体"/>
          <w:sz w:val="36"/>
        </w:rPr>
      </w:pPr>
      <w:r>
        <w:rPr>
          <w:rFonts w:hint="eastAsia" w:ascii="黑体" w:eastAsia="黑体"/>
          <w:sz w:val="36"/>
        </w:rPr>
        <w:t>目</w:t>
      </w:r>
      <w:r>
        <w:rPr>
          <w:rFonts w:hint="eastAsia" w:ascii="黑体" w:eastAsia="黑体"/>
          <w:sz w:val="36"/>
        </w:rPr>
        <w:tab/>
      </w:r>
      <w:r>
        <w:rPr>
          <w:rFonts w:hint="eastAsia" w:ascii="黑体" w:eastAsia="黑体"/>
          <w:sz w:val="36"/>
        </w:rPr>
        <w:t>录</w:t>
      </w:r>
    </w:p>
    <w:p>
      <w:pPr>
        <w:pStyle w:val="4"/>
        <w:tabs>
          <w:tab w:val="left" w:pos="2026"/>
        </w:tabs>
        <w:spacing w:before="200"/>
        <w:ind w:left="106"/>
        <w:rPr>
          <w:rFonts w:hint="eastAsia" w:ascii="黑体" w:eastAsia="黑体"/>
        </w:rPr>
      </w:pPr>
      <w:r>
        <w:rPr>
          <w:rFonts w:hint="eastAsia" w:ascii="黑体" w:eastAsia="黑体"/>
        </w:rPr>
        <w:t>第一部分</w:t>
      </w:r>
      <w:r>
        <w:rPr>
          <w:rFonts w:hint="eastAsia" w:ascii="黑体" w:eastAsia="黑体"/>
        </w:rPr>
        <w:tab/>
      </w:r>
      <w:r>
        <w:rPr>
          <w:rFonts w:hint="eastAsia" w:ascii="黑体" w:eastAsia="黑体"/>
        </w:rPr>
        <w:t>西工区司法局概况</w:t>
      </w:r>
    </w:p>
    <w:p>
      <w:pPr>
        <w:pStyle w:val="4"/>
        <w:spacing w:before="224" w:line="372" w:lineRule="auto"/>
        <w:ind w:left="747" w:right="6217"/>
        <w:rPr>
          <w:rFonts w:hint="eastAsia" w:ascii="宋体" w:eastAsia="宋体"/>
        </w:rPr>
      </w:pPr>
      <w:r>
        <w:rPr>
          <w:rFonts w:hint="eastAsia" w:ascii="宋体" w:eastAsia="宋体"/>
        </w:rPr>
        <w:t>一、部门职责二、机构设置</w:t>
      </w:r>
    </w:p>
    <w:p>
      <w:pPr>
        <w:pStyle w:val="4"/>
        <w:tabs>
          <w:tab w:val="left" w:pos="2026"/>
        </w:tabs>
        <w:spacing w:line="409" w:lineRule="exact"/>
        <w:ind w:left="106"/>
        <w:rPr>
          <w:rFonts w:hint="eastAsia" w:ascii="黑体" w:eastAsia="黑体"/>
        </w:rPr>
      </w:pPr>
      <w:r>
        <w:rPr>
          <w:rFonts w:hint="eastAsia" w:ascii="黑体" w:eastAsia="黑体"/>
        </w:rPr>
        <w:t>第二部分</w:t>
      </w:r>
      <w:r>
        <w:rPr>
          <w:rFonts w:hint="eastAsia" w:ascii="黑体" w:eastAsia="黑体"/>
        </w:rPr>
        <w:tab/>
      </w:r>
      <w:r>
        <w:rPr>
          <w:rFonts w:hint="eastAsia" w:ascii="黑体" w:eastAsia="黑体"/>
        </w:rPr>
        <w:t>2018</w:t>
      </w:r>
      <w:r>
        <w:rPr>
          <w:rFonts w:hint="eastAsia" w:ascii="黑体" w:eastAsia="黑体"/>
          <w:spacing w:val="-81"/>
        </w:rPr>
        <w:t xml:space="preserve"> </w:t>
      </w:r>
      <w:r>
        <w:rPr>
          <w:rFonts w:hint="eastAsia" w:ascii="黑体" w:eastAsia="黑体"/>
        </w:rPr>
        <w:t>年度部门决算表</w:t>
      </w:r>
    </w:p>
    <w:p>
      <w:pPr>
        <w:pStyle w:val="4"/>
        <w:spacing w:before="223" w:line="372" w:lineRule="auto"/>
        <w:ind w:left="747" w:right="4937"/>
        <w:rPr>
          <w:rFonts w:hint="eastAsia" w:ascii="宋体" w:eastAsia="宋体"/>
        </w:rPr>
      </w:pPr>
      <w:r>
        <w:rPr>
          <w:rFonts w:hint="eastAsia" w:ascii="宋体" w:eastAsia="宋体"/>
          <w:spacing w:val="-2"/>
        </w:rPr>
        <w:t>一、收入支出决算总表</w:t>
      </w:r>
      <w:r>
        <w:rPr>
          <w:rFonts w:hint="eastAsia" w:ascii="宋体" w:eastAsia="宋体"/>
        </w:rPr>
        <w:t>二、收入决算表</w:t>
      </w:r>
    </w:p>
    <w:p>
      <w:pPr>
        <w:pStyle w:val="4"/>
        <w:spacing w:line="406" w:lineRule="exact"/>
        <w:ind w:left="747"/>
        <w:rPr>
          <w:rFonts w:hint="eastAsia" w:ascii="宋体" w:eastAsia="宋体"/>
        </w:rPr>
      </w:pPr>
      <w:r>
        <w:rPr>
          <w:rFonts w:hint="eastAsia" w:ascii="宋体" w:eastAsia="宋体"/>
          <w:w w:val="95"/>
        </w:rPr>
        <w:t>三、支出决算表</w:t>
      </w:r>
    </w:p>
    <w:p>
      <w:pPr>
        <w:pStyle w:val="4"/>
        <w:spacing w:before="224"/>
        <w:ind w:left="747"/>
        <w:rPr>
          <w:rFonts w:hint="eastAsia" w:ascii="宋体" w:eastAsia="宋体"/>
        </w:rPr>
      </w:pPr>
      <w:r>
        <w:rPr>
          <w:rFonts w:hint="eastAsia" w:ascii="宋体" w:eastAsia="宋体"/>
        </w:rPr>
        <w:t>四、财政拨款收入支出决算总表</w:t>
      </w:r>
    </w:p>
    <w:p>
      <w:pPr>
        <w:pStyle w:val="4"/>
        <w:spacing w:before="223"/>
        <w:ind w:left="747"/>
        <w:rPr>
          <w:rFonts w:hint="eastAsia" w:ascii="宋体" w:eastAsia="宋体"/>
        </w:rPr>
      </w:pPr>
      <w:r>
        <w:rPr>
          <w:rFonts w:hint="eastAsia" w:ascii="宋体" w:eastAsia="宋体"/>
        </w:rPr>
        <w:t>五、一般公共预算财政拨款支出决算表</w:t>
      </w:r>
    </w:p>
    <w:p>
      <w:pPr>
        <w:pStyle w:val="4"/>
        <w:spacing w:before="226"/>
        <w:ind w:left="747"/>
        <w:rPr>
          <w:rFonts w:hint="eastAsia" w:ascii="宋体" w:eastAsia="宋体"/>
        </w:rPr>
      </w:pPr>
      <w:r>
        <w:rPr>
          <w:rFonts w:hint="eastAsia" w:ascii="宋体" w:eastAsia="宋体"/>
        </w:rPr>
        <w:t>六、一般公共预算财政拨款基本支出决算表</w:t>
      </w:r>
    </w:p>
    <w:p>
      <w:pPr>
        <w:pStyle w:val="4"/>
        <w:spacing w:before="224" w:line="372" w:lineRule="auto"/>
        <w:ind w:left="747" w:right="778"/>
        <w:rPr>
          <w:rFonts w:hint="eastAsia" w:ascii="宋体" w:hAnsi="宋体" w:eastAsia="宋体"/>
        </w:rPr>
      </w:pPr>
      <w:r>
        <w:rPr>
          <w:rFonts w:hint="eastAsia" w:ascii="宋体" w:hAnsi="宋体" w:eastAsia="宋体"/>
        </w:rPr>
        <w:t>七、一般公共预算财政拨款“三公”经费支出决算表八、政府性基金预算财政拨款收入支出决算表</w:t>
      </w:r>
    </w:p>
    <w:p>
      <w:pPr>
        <w:pStyle w:val="4"/>
        <w:tabs>
          <w:tab w:val="left" w:pos="2026"/>
        </w:tabs>
        <w:spacing w:line="406" w:lineRule="exact"/>
        <w:ind w:left="106"/>
        <w:rPr>
          <w:rFonts w:hint="eastAsia" w:ascii="黑体" w:eastAsia="黑体"/>
        </w:rPr>
      </w:pPr>
      <w:r>
        <w:rPr>
          <w:rFonts w:hint="eastAsia" w:ascii="黑体" w:eastAsia="黑体"/>
        </w:rPr>
        <w:t>第三部分</w:t>
      </w:r>
      <w:r>
        <w:rPr>
          <w:rFonts w:hint="eastAsia" w:ascii="黑体" w:eastAsia="黑体"/>
        </w:rPr>
        <w:tab/>
      </w:r>
      <w:r>
        <w:rPr>
          <w:rFonts w:hint="eastAsia" w:ascii="黑体" w:eastAsia="黑体"/>
        </w:rPr>
        <w:t>2018</w:t>
      </w:r>
      <w:r>
        <w:rPr>
          <w:rFonts w:hint="eastAsia" w:ascii="黑体" w:eastAsia="黑体"/>
          <w:spacing w:val="-81"/>
        </w:rPr>
        <w:t xml:space="preserve"> </w:t>
      </w:r>
      <w:r>
        <w:rPr>
          <w:rFonts w:hint="eastAsia" w:ascii="黑体" w:eastAsia="黑体"/>
        </w:rPr>
        <w:t>年度部门决算情况说明</w:t>
      </w:r>
    </w:p>
    <w:p>
      <w:pPr>
        <w:pStyle w:val="4"/>
        <w:spacing w:before="224" w:line="372" w:lineRule="auto"/>
        <w:ind w:left="747" w:right="3658"/>
        <w:rPr>
          <w:rFonts w:hint="eastAsia" w:ascii="宋体" w:eastAsia="宋体"/>
        </w:rPr>
      </w:pPr>
      <w:r>
        <w:rPr>
          <w:rFonts w:hint="eastAsia" w:ascii="宋体" w:eastAsia="宋体"/>
          <w:spacing w:val="-1"/>
        </w:rPr>
        <w:t>一、收入支出决算总体情况说明</w:t>
      </w:r>
      <w:r>
        <w:rPr>
          <w:rFonts w:hint="eastAsia" w:ascii="宋体" w:eastAsia="宋体"/>
        </w:rPr>
        <w:t>二、收入决算情况说明</w:t>
      </w:r>
    </w:p>
    <w:p>
      <w:pPr>
        <w:pStyle w:val="4"/>
        <w:spacing w:line="409" w:lineRule="exact"/>
        <w:ind w:left="747"/>
        <w:rPr>
          <w:rFonts w:hint="eastAsia" w:ascii="宋体" w:eastAsia="宋体"/>
        </w:rPr>
      </w:pPr>
      <w:r>
        <w:rPr>
          <w:rFonts w:hint="eastAsia" w:ascii="宋体" w:eastAsia="宋体"/>
          <w:w w:val="95"/>
        </w:rPr>
        <w:t>三、支出决算情况说明</w:t>
      </w:r>
    </w:p>
    <w:p>
      <w:pPr>
        <w:pStyle w:val="4"/>
        <w:spacing w:before="223"/>
        <w:ind w:left="747"/>
        <w:rPr>
          <w:rFonts w:hint="eastAsia" w:ascii="宋体" w:eastAsia="宋体"/>
        </w:rPr>
      </w:pPr>
      <w:r>
        <w:rPr>
          <w:rFonts w:hint="eastAsia" w:ascii="宋体" w:eastAsia="宋体"/>
        </w:rPr>
        <w:t>四、财政拨款收入支出决算总体情况说明</w:t>
      </w:r>
    </w:p>
    <w:p>
      <w:pPr>
        <w:pStyle w:val="4"/>
        <w:spacing w:before="224"/>
        <w:ind w:left="747"/>
        <w:rPr>
          <w:rFonts w:hint="eastAsia" w:ascii="宋体" w:eastAsia="宋体"/>
        </w:rPr>
      </w:pPr>
      <w:r>
        <w:rPr>
          <w:rFonts w:hint="eastAsia" w:ascii="宋体" w:eastAsia="宋体"/>
        </w:rPr>
        <w:t>五、一般公共预算财政拨款支出决算情况说明</w:t>
      </w:r>
    </w:p>
    <w:p>
      <w:pPr>
        <w:pStyle w:val="4"/>
        <w:spacing w:before="223"/>
        <w:ind w:left="747"/>
        <w:rPr>
          <w:rFonts w:hint="eastAsia" w:ascii="宋体" w:eastAsia="宋体"/>
        </w:rPr>
      </w:pPr>
      <w:r>
        <w:rPr>
          <w:rFonts w:hint="eastAsia" w:ascii="宋体" w:eastAsia="宋体"/>
        </w:rPr>
        <w:t>六、一般公共预算财政拨款基本支出决算情况说明</w:t>
      </w:r>
    </w:p>
    <w:p>
      <w:pPr>
        <w:pStyle w:val="4"/>
        <w:spacing w:before="224"/>
        <w:ind w:left="747"/>
        <w:rPr>
          <w:rFonts w:hint="eastAsia" w:ascii="宋体" w:hAnsi="宋体" w:eastAsia="宋体"/>
        </w:rPr>
      </w:pPr>
      <w:r>
        <w:rPr>
          <w:rFonts w:hint="eastAsia" w:ascii="宋体" w:hAnsi="宋体" w:eastAsia="宋体"/>
        </w:rPr>
        <w:t>七、一般公共预算财政拨款“三公”经费支出决算情况说</w:t>
      </w:r>
    </w:p>
    <w:p>
      <w:pPr>
        <w:pStyle w:val="4"/>
        <w:spacing w:before="3"/>
        <w:rPr>
          <w:rFonts w:ascii="宋体"/>
          <w:sz w:val="13"/>
        </w:rPr>
      </w:pPr>
    </w:p>
    <w:p>
      <w:pPr>
        <w:pStyle w:val="4"/>
        <w:spacing w:before="54"/>
        <w:ind w:left="106"/>
        <w:rPr>
          <w:rFonts w:hint="eastAsia" w:ascii="宋体" w:eastAsia="宋体"/>
        </w:rPr>
      </w:pPr>
      <w:r>
        <w:rPr>
          <w:rFonts w:hint="eastAsia" w:ascii="宋体" w:eastAsia="宋体"/>
          <w:w w:val="99"/>
        </w:rPr>
        <w:t>明</w:t>
      </w:r>
    </w:p>
    <w:p>
      <w:pPr>
        <w:spacing w:after="0"/>
        <w:rPr>
          <w:rFonts w:hint="eastAsia" w:ascii="宋体" w:eastAsia="宋体"/>
        </w:rPr>
        <w:sectPr>
          <w:footerReference r:id="rId5" w:type="default"/>
          <w:pgSz w:w="11910" w:h="16840"/>
          <w:pgMar w:top="1480" w:right="1540" w:bottom="1160" w:left="1480" w:header="0" w:footer="975" w:gutter="0"/>
          <w:pgNumType w:start="1"/>
          <w:cols w:space="720" w:num="1"/>
        </w:sectPr>
      </w:pPr>
    </w:p>
    <w:p>
      <w:pPr>
        <w:pStyle w:val="4"/>
        <w:spacing w:before="35"/>
        <w:ind w:left="747"/>
        <w:rPr>
          <w:rFonts w:hint="eastAsia" w:ascii="宋体" w:eastAsia="宋体"/>
        </w:rPr>
      </w:pPr>
      <w:r>
        <w:rPr>
          <w:rFonts w:hint="eastAsia" w:ascii="宋体" w:eastAsia="宋体"/>
        </w:rPr>
        <w:t>八、预算绩效情况说明</w:t>
      </w:r>
    </w:p>
    <w:p>
      <w:pPr>
        <w:pStyle w:val="4"/>
        <w:spacing w:before="223" w:line="372" w:lineRule="auto"/>
        <w:ind w:left="747" w:right="1417"/>
        <w:rPr>
          <w:rFonts w:hint="eastAsia" w:ascii="宋体" w:eastAsia="宋体"/>
        </w:rPr>
      </w:pPr>
      <w:r>
        <w:rPr>
          <w:rFonts w:hint="eastAsia" w:ascii="宋体" w:eastAsia="宋体"/>
        </w:rPr>
        <w:t>九、政府性基金预算财政拨款支出决算情况说明十、机关运行经费支出情况说明</w:t>
      </w:r>
    </w:p>
    <w:p>
      <w:pPr>
        <w:pStyle w:val="4"/>
        <w:spacing w:line="372" w:lineRule="auto"/>
        <w:ind w:left="747" w:right="3977"/>
        <w:rPr>
          <w:rFonts w:hint="eastAsia" w:ascii="宋体" w:eastAsia="宋体"/>
        </w:rPr>
      </w:pPr>
      <w:r>
        <w:rPr>
          <w:rFonts w:hint="eastAsia" w:ascii="宋体" w:eastAsia="宋体"/>
        </w:rPr>
        <w:t>十一、政府采购支出情况说明十二、国有资产占用情况说明</w:t>
      </w:r>
    </w:p>
    <w:p>
      <w:pPr>
        <w:pStyle w:val="4"/>
        <w:tabs>
          <w:tab w:val="left" w:pos="2026"/>
        </w:tabs>
        <w:spacing w:line="409" w:lineRule="exact"/>
        <w:ind w:left="106"/>
        <w:rPr>
          <w:rFonts w:hint="eastAsia" w:ascii="黑体" w:eastAsia="黑体"/>
        </w:rPr>
      </w:pPr>
      <w:r>
        <w:rPr>
          <w:rFonts w:hint="eastAsia" w:ascii="黑体" w:eastAsia="黑体"/>
        </w:rPr>
        <w:t>第四部分</w:t>
      </w:r>
      <w:r>
        <w:rPr>
          <w:rFonts w:hint="eastAsia" w:ascii="黑体" w:eastAsia="黑体"/>
        </w:rPr>
        <w:tab/>
      </w:r>
      <w:r>
        <w:rPr>
          <w:rFonts w:hint="eastAsia" w:ascii="黑体" w:eastAsia="黑体"/>
        </w:rPr>
        <w:t>名词解释</w:t>
      </w:r>
    </w:p>
    <w:p>
      <w:pPr>
        <w:spacing w:after="0" w:line="409" w:lineRule="exact"/>
        <w:rPr>
          <w:rFonts w:hint="eastAsia" w:ascii="黑体" w:eastAsia="黑体"/>
        </w:rPr>
        <w:sectPr>
          <w:pgSz w:w="11910" w:h="16840"/>
          <w:pgMar w:top="1500" w:right="1540" w:bottom="1160" w:left="1480" w:header="0" w:footer="975"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4"/>
        <w:rPr>
          <w:rFonts w:ascii="黑体"/>
          <w:sz w:val="26"/>
        </w:rPr>
      </w:pPr>
    </w:p>
    <w:p>
      <w:pPr>
        <w:pStyle w:val="2"/>
        <w:tabs>
          <w:tab w:val="left" w:pos="2217"/>
        </w:tabs>
        <w:jc w:val="center"/>
      </w:pPr>
      <w:r>
        <w:t>第一部分</w:t>
      </w:r>
      <w:r>
        <w:tab/>
      </w:r>
      <w:r>
        <w:t>西工区司法局概况</w:t>
      </w:r>
    </w:p>
    <w:p>
      <w:pPr>
        <w:spacing w:after="0"/>
        <w:jc w:val="center"/>
        <w:sectPr>
          <w:footerReference r:id="rId6" w:type="default"/>
          <w:pgSz w:w="11910" w:h="16840"/>
          <w:pgMar w:top="1580" w:right="1540" w:bottom="900" w:left="1480" w:header="0" w:footer="704" w:gutter="0"/>
          <w:pgNumType w:start="3"/>
          <w:cols w:space="720" w:num="1"/>
        </w:sectPr>
      </w:pPr>
    </w:p>
    <w:p>
      <w:pPr>
        <w:pStyle w:val="4"/>
        <w:spacing w:before="30"/>
        <w:ind w:left="960"/>
        <w:rPr>
          <w:rFonts w:hint="eastAsia" w:ascii="黑体" w:eastAsia="黑体"/>
        </w:rPr>
      </w:pPr>
      <w:r>
        <w:rPr>
          <w:rFonts w:hint="eastAsia" w:ascii="黑体" w:eastAsia="黑体"/>
        </w:rPr>
        <w:t>一、部门职责</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西工区司法局主要职责是：</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一） 贯彻落实国家司法行政工作方针、政策，研究拟定全区司法行政工作的政策、法规，编制全区司法 行政工作的中长期规划、年度计划并监督实施。</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二）制订全区法制宣传教育规划和依法治理工作规划， 并组织实施， 指导全区依法治理工作。</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三）指导、监督、管理全区律师、律师执业机构、法律援助、公证员业务活动。</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四）指导、监督、管理全区基层法律服务、人民调解、社区矫正、刑满释放安置帮教工作。</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五）负责区政府规范性文件的审查、备案及清理； 对区政府作出的重大决策事项进行合法性审查；负责对区政府对外签订合同的合法性审查； 对全区各办事处、各行政执法单位依法行政工作进行指导考核；指导全区行政调解工作；受区政府委托，代理出庭应诉，组织办理区政府行政、经济和民事诉讼案件；做好区政府法律顾问的聘任和管理。</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六）负责指导并办理行政复议、应诉工作；负责对行政执法机关的重大行政处罚进行审查、备案；负责行政执法证件的申办和监督管理， 组织行政执法培训； 综合协调行政执法，依法监督并指导行政执法机关和执</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sectPr>
          <w:pgSz w:w="11910" w:h="16840"/>
          <w:pgMar w:top="1500" w:right="1540" w:bottom="900" w:left="1480" w:header="0" w:footer="704" w:gutter="0"/>
          <w:cols w:space="720" w:num="1"/>
        </w:sectPr>
      </w:pP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法人员的行政执法行为，处理行政执法投诉，行政执法 机构绩效管理和考核。</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七）指导全区司法行政系统的队伍建设和思想政治工作，管理局机关和直属单位的干部人事工作；协助 办事处党。</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八） 负责全区司法行政系统的警务管理工作。</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九）负责本部门及所属事业单位登记、网上名称管理工作。</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十）负责本部门、本系统突发公共事件的应急管理和信访稳定工作， 贯彻落实突发公共事件应急预案， 预防和处置本部门、本系统的突发事件。</w:t>
      </w:r>
    </w:p>
    <w:p>
      <w:pPr>
        <w:autoSpaceDE/>
        <w:autoSpaceDN/>
        <w:spacing w:before="0" w:after="0" w:line="608" w:lineRule="exact"/>
        <w:ind w:left="0" w:right="0" w:firstLine="640" w:firstLineChars="200"/>
        <w:jc w:val="both"/>
        <w:rPr>
          <w:rFonts w:hint="eastAsia" w:ascii="仿宋" w:hAnsi="仿宋" w:eastAsia="仿宋" w:cs="仿宋"/>
          <w:kern w:val="2"/>
          <w:sz w:val="32"/>
          <w:szCs w:val="32"/>
          <w:lang w:val="en" w:bidi="ar-SA"/>
        </w:rPr>
      </w:pPr>
      <w:r>
        <w:rPr>
          <w:rFonts w:hint="eastAsia" w:ascii="仿宋" w:hAnsi="仿宋" w:eastAsia="仿宋" w:cs="仿宋"/>
          <w:kern w:val="2"/>
          <w:sz w:val="32"/>
          <w:szCs w:val="32"/>
          <w:lang w:val="en" w:bidi="ar-SA"/>
        </w:rPr>
        <w:t>（ 十一） 完成区委、区政府交办的其他任务。</w:t>
      </w:r>
    </w:p>
    <w:p>
      <w:pPr>
        <w:pStyle w:val="4"/>
        <w:spacing w:before="139"/>
        <w:ind w:left="960"/>
        <w:rPr>
          <w:rFonts w:hint="eastAsia" w:ascii="黑体" w:eastAsia="黑体"/>
        </w:rPr>
      </w:pPr>
      <w:r>
        <w:rPr>
          <w:rFonts w:hint="eastAsia" w:ascii="黑体" w:eastAsia="黑体"/>
        </w:rPr>
        <w:t>二、机构设置</w:t>
      </w:r>
    </w:p>
    <w:p>
      <w:pPr>
        <w:pStyle w:val="4"/>
        <w:spacing w:before="271" w:line="355" w:lineRule="auto"/>
        <w:ind w:left="320" w:right="289" w:firstLine="640"/>
        <w:jc w:val="both"/>
      </w:pPr>
      <w:r>
        <w:rPr>
          <w:spacing w:val="-8"/>
        </w:rPr>
        <w:t xml:space="preserve">西工区司法局内设机构 </w:t>
      </w:r>
      <w:r>
        <w:t>6</w:t>
      </w:r>
      <w:r>
        <w:rPr>
          <w:spacing w:val="-25"/>
        </w:rPr>
        <w:t xml:space="preserve"> 个，包括：办公室、</w:t>
      </w:r>
      <w:r>
        <w:rPr>
          <w:rFonts w:hint="eastAsia" w:ascii="楷体_GB2312" w:eastAsia="楷体_GB2312"/>
          <w:spacing w:val="24"/>
        </w:rPr>
        <w:t>基层工作</w:t>
      </w:r>
      <w:r>
        <w:rPr>
          <w:rFonts w:hint="eastAsia" w:ascii="楷体_GB2312" w:eastAsia="楷体_GB2312"/>
          <w:spacing w:val="18"/>
          <w:w w:val="95"/>
        </w:rPr>
        <w:t xml:space="preserve">指导股、律师工作管理股、依法治区办公室、社区矫正 </w:t>
      </w:r>
      <w:r>
        <w:rPr>
          <w:rFonts w:hint="eastAsia" w:ascii="楷体_GB2312" w:eastAsia="楷体_GB2312"/>
          <w:spacing w:val="31"/>
        </w:rPr>
        <w:t>股、法制股</w:t>
      </w:r>
      <w:r>
        <w:t>。</w:t>
      </w:r>
    </w:p>
    <w:p>
      <w:pPr>
        <w:pStyle w:val="4"/>
        <w:spacing w:line="356" w:lineRule="exact"/>
        <w:ind w:left="960"/>
      </w:pPr>
      <w:r>
        <w:t>本决算为汇总决算，纳入本部门 2018 年度部门决算编</w:t>
      </w:r>
    </w:p>
    <w:p>
      <w:pPr>
        <w:pStyle w:val="4"/>
        <w:spacing w:before="214" w:line="364" w:lineRule="auto"/>
        <w:ind w:left="960" w:right="565" w:hanging="641"/>
      </w:pPr>
      <w:r>
        <w:rPr>
          <w:spacing w:val="-11"/>
        </w:rPr>
        <w:t xml:space="preserve">制范围的单位共 </w:t>
      </w:r>
      <w:r>
        <w:t>3</w:t>
      </w:r>
      <w:r>
        <w:rPr>
          <w:spacing w:val="-17"/>
        </w:rPr>
        <w:t xml:space="preserve"> 个，其中二级预算单位 </w:t>
      </w:r>
      <w:r>
        <w:t>2</w:t>
      </w:r>
      <w:r>
        <w:rPr>
          <w:spacing w:val="-13"/>
        </w:rPr>
        <w:t xml:space="preserve"> 个，具体是： 1.西工区司法局本级</w:t>
      </w:r>
    </w:p>
    <w:p>
      <w:pPr>
        <w:pStyle w:val="8"/>
        <w:numPr>
          <w:ilvl w:val="0"/>
          <w:numId w:val="1"/>
        </w:numPr>
        <w:tabs>
          <w:tab w:val="left" w:pos="1283"/>
        </w:tabs>
        <w:spacing w:before="2" w:after="0" w:line="240" w:lineRule="auto"/>
        <w:ind w:left="1282" w:right="0" w:hanging="323"/>
        <w:jc w:val="left"/>
        <w:rPr>
          <w:sz w:val="32"/>
        </w:rPr>
      </w:pPr>
      <w:r>
        <w:rPr>
          <w:sz w:val="32"/>
        </w:rPr>
        <w:t>洛阳市西工区法律援助中心</w:t>
      </w:r>
    </w:p>
    <w:p>
      <w:pPr>
        <w:pStyle w:val="8"/>
        <w:numPr>
          <w:ilvl w:val="0"/>
          <w:numId w:val="1"/>
        </w:numPr>
        <w:tabs>
          <w:tab w:val="left" w:pos="1283"/>
        </w:tabs>
        <w:spacing w:before="214" w:after="0" w:line="240" w:lineRule="auto"/>
        <w:ind w:left="1282" w:right="0" w:hanging="323"/>
        <w:jc w:val="left"/>
        <w:rPr>
          <w:sz w:val="32"/>
        </w:rPr>
      </w:pPr>
      <w:r>
        <w:rPr>
          <w:sz w:val="32"/>
        </w:rPr>
        <w:t>河南省洛阳市西工公证处</w:t>
      </w:r>
    </w:p>
    <w:p>
      <w:pPr>
        <w:spacing w:after="0" w:line="240" w:lineRule="auto"/>
        <w:jc w:val="left"/>
        <w:rPr>
          <w:sz w:val="32"/>
        </w:rPr>
        <w:sectPr>
          <w:pgSz w:w="11910" w:h="16840"/>
          <w:pgMar w:top="1560" w:right="1540" w:bottom="900" w:left="1480" w:header="0" w:footer="704"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6"/>
        </w:rPr>
      </w:pPr>
    </w:p>
    <w:p>
      <w:pPr>
        <w:pStyle w:val="2"/>
        <w:tabs>
          <w:tab w:val="left" w:pos="2457"/>
        </w:tabs>
        <w:jc w:val="center"/>
      </w:pPr>
      <w:r>
        <w:t>第二部分</w:t>
      </w:r>
      <w:r>
        <w:tab/>
      </w:r>
      <w:r>
        <w:t>2018</w:t>
      </w:r>
      <w:r>
        <w:rPr>
          <w:spacing w:val="-120"/>
        </w:rPr>
        <w:t xml:space="preserve"> </w:t>
      </w:r>
      <w:r>
        <w:t>年度部门决算表</w:t>
      </w:r>
    </w:p>
    <w:p>
      <w:pPr>
        <w:spacing w:after="0"/>
        <w:jc w:val="center"/>
        <w:sectPr>
          <w:pgSz w:w="11910" w:h="16840"/>
          <w:pgMar w:top="1580" w:right="1540" w:bottom="900" w:left="1480" w:header="0" w:footer="704" w:gutter="0"/>
          <w:cols w:space="720" w:num="1"/>
        </w:sectPr>
      </w:pPr>
    </w:p>
    <w:p>
      <w:pPr>
        <w:pStyle w:val="4"/>
        <w:spacing w:before="4"/>
        <w:rPr>
          <w:rFonts w:ascii="Times New Roman"/>
          <w:sz w:val="17"/>
        </w:rPr>
      </w:pPr>
      <w:r>
        <w:pict>
          <v:shape id="_x0000_s1026" o:spid="_x0000_s1026" o:spt="202" type="#_x0000_t202" style="position:absolute;left:0pt;margin-left:413.85pt;margin-top:550.05pt;height:9pt;width:14.2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- 7 -</w:t>
                  </w:r>
                </w:p>
              </w:txbxContent>
            </v:textbox>
          </v:shape>
        </w:pict>
      </w:r>
      <w:r>
        <w:drawing>
          <wp:anchor distT="0" distB="0" distL="0" distR="0" simplePos="0" relativeHeight="251660288" behindDoc="1" locked="0" layoutInCell="1" allowOverlap="1">
            <wp:simplePos x="0" y="0"/>
            <wp:positionH relativeFrom="page">
              <wp:posOffset>914400</wp:posOffset>
            </wp:positionH>
            <wp:positionV relativeFrom="page">
              <wp:posOffset>784860</wp:posOffset>
            </wp:positionV>
            <wp:extent cx="8904605" cy="677481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7" cstate="print"/>
                    <a:stretch>
                      <a:fillRect/>
                    </a:stretch>
                  </pic:blipFill>
                  <pic:spPr>
                    <a:xfrm>
                      <a:off x="0" y="0"/>
                      <a:ext cx="8904605" cy="6774815"/>
                    </a:xfrm>
                    <a:prstGeom prst="rect">
                      <a:avLst/>
                    </a:prstGeom>
                  </pic:spPr>
                </pic:pic>
              </a:graphicData>
            </a:graphic>
          </wp:anchor>
        </w:drawing>
      </w:r>
    </w:p>
    <w:p>
      <w:pPr>
        <w:spacing w:after="0"/>
        <w:rPr>
          <w:rFonts w:ascii="Times New Roman"/>
          <w:sz w:val="17"/>
        </w:rPr>
        <w:sectPr>
          <w:footerReference r:id="rId7" w:type="default"/>
          <w:pgSz w:w="16840" w:h="11910" w:orient="landscape"/>
          <w:pgMar w:top="1100" w:right="0" w:bottom="0" w:left="1560" w:header="0" w:footer="0" w:gutter="0"/>
          <w:cols w:space="720" w:num="1"/>
        </w:sectPr>
      </w:pPr>
    </w:p>
    <w:p>
      <w:pPr>
        <w:pStyle w:val="4"/>
        <w:spacing w:before="4"/>
        <w:rPr>
          <w:rFonts w:ascii="Times New Roman"/>
          <w:sz w:val="17"/>
        </w:rPr>
      </w:pPr>
      <w:r>
        <w:pict>
          <v:shape id="_x0000_s1027" o:spid="_x0000_s1027" o:spt="202" type="#_x0000_t202" style="position:absolute;left:0pt;margin-left:413.85pt;margin-top:550.05pt;height:9pt;width:14.2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- 8 -</w:t>
                  </w:r>
                </w:p>
              </w:txbxContent>
            </v:textbox>
          </v:shape>
        </w:pict>
      </w:r>
      <w:r>
        <w:drawing>
          <wp:anchor distT="0" distB="0" distL="0" distR="0" simplePos="0" relativeHeight="251677696" behindDoc="0" locked="0" layoutInCell="1" allowOverlap="1">
            <wp:simplePos x="0" y="0"/>
            <wp:positionH relativeFrom="page">
              <wp:posOffset>1065530</wp:posOffset>
            </wp:positionH>
            <wp:positionV relativeFrom="page">
              <wp:posOffset>793750</wp:posOffset>
            </wp:positionV>
            <wp:extent cx="9626600" cy="67659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8" cstate="print"/>
                    <a:stretch>
                      <a:fillRect/>
                    </a:stretch>
                  </pic:blipFill>
                  <pic:spPr>
                    <a:xfrm>
                      <a:off x="0" y="0"/>
                      <a:ext cx="9626600" cy="6765925"/>
                    </a:xfrm>
                    <a:prstGeom prst="rect">
                      <a:avLst/>
                    </a:prstGeom>
                  </pic:spPr>
                </pic:pic>
              </a:graphicData>
            </a:graphic>
          </wp:anchor>
        </w:drawing>
      </w:r>
    </w:p>
    <w:p>
      <w:pPr>
        <w:spacing w:after="0"/>
        <w:rPr>
          <w:rFonts w:ascii="Times New Roman"/>
          <w:sz w:val="17"/>
        </w:rPr>
        <w:sectPr>
          <w:footerReference r:id="rId8"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28" o:spid="_x0000_s1028" o:spt="202" type="#_x0000_t202" style="position:absolute;left:0pt;margin-left:413.85pt;margin-top:550.05pt;height:9pt;width:14.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- 9 -</w:t>
                  </w:r>
                </w:p>
              </w:txbxContent>
            </v:textbox>
          </v:shape>
        </w:pict>
      </w:r>
      <w:r>
        <w:drawing>
          <wp:anchor distT="0" distB="0" distL="0" distR="0" simplePos="0" relativeHeight="251678720" behindDoc="0" locked="0" layoutInCell="1" allowOverlap="1">
            <wp:simplePos x="0" y="0"/>
            <wp:positionH relativeFrom="page">
              <wp:posOffset>1065530</wp:posOffset>
            </wp:positionH>
            <wp:positionV relativeFrom="page">
              <wp:posOffset>721995</wp:posOffset>
            </wp:positionV>
            <wp:extent cx="9626600" cy="683768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29" cstate="print"/>
                    <a:stretch>
                      <a:fillRect/>
                    </a:stretch>
                  </pic:blipFill>
                  <pic:spPr>
                    <a:xfrm>
                      <a:off x="0" y="0"/>
                      <a:ext cx="9626600" cy="6837680"/>
                    </a:xfrm>
                    <a:prstGeom prst="rect">
                      <a:avLst/>
                    </a:prstGeom>
                  </pic:spPr>
                </pic:pic>
              </a:graphicData>
            </a:graphic>
          </wp:anchor>
        </w:drawing>
      </w:r>
    </w:p>
    <w:p>
      <w:pPr>
        <w:spacing w:after="0"/>
        <w:rPr>
          <w:rFonts w:ascii="Times New Roman"/>
          <w:sz w:val="17"/>
        </w:rPr>
        <w:sectPr>
          <w:footerReference r:id="rId9"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29" o:spid="_x0000_s1029" o:spt="202" type="#_x0000_t202" style="position:absolute;left:0pt;margin-left:411.6pt;margin-top:550.05pt;height:9pt;width:18.6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- 10 </w:t>
                  </w:r>
                  <w:r>
                    <w:rPr>
                      <w:rFonts w:ascii="Calibri"/>
                      <w:spacing w:val="-19"/>
                      <w:sz w:val="18"/>
                    </w:rPr>
                    <w:t>-</w:t>
                  </w:r>
                </w:p>
              </w:txbxContent>
            </v:textbox>
          </v:shape>
        </w:pict>
      </w:r>
      <w:r>
        <w:drawing>
          <wp:anchor distT="0" distB="0" distL="0" distR="0" simplePos="0" relativeHeight="251679744" behindDoc="0" locked="0" layoutInCell="1" allowOverlap="1">
            <wp:simplePos x="0" y="0"/>
            <wp:positionH relativeFrom="page">
              <wp:posOffset>1065530</wp:posOffset>
            </wp:positionH>
            <wp:positionV relativeFrom="page">
              <wp:posOffset>778510</wp:posOffset>
            </wp:positionV>
            <wp:extent cx="9626600" cy="678116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30" cstate="print"/>
                    <a:stretch>
                      <a:fillRect/>
                    </a:stretch>
                  </pic:blipFill>
                  <pic:spPr>
                    <a:xfrm>
                      <a:off x="0" y="0"/>
                      <a:ext cx="9626600" cy="6781165"/>
                    </a:xfrm>
                    <a:prstGeom prst="rect">
                      <a:avLst/>
                    </a:prstGeom>
                  </pic:spPr>
                </pic:pic>
              </a:graphicData>
            </a:graphic>
          </wp:anchor>
        </w:drawing>
      </w:r>
    </w:p>
    <w:p>
      <w:pPr>
        <w:spacing w:after="0"/>
        <w:rPr>
          <w:rFonts w:ascii="Times New Roman"/>
          <w:sz w:val="17"/>
        </w:rPr>
        <w:sectPr>
          <w:footerReference r:id="rId10"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0" o:spid="_x0000_s1030" o:spt="202" type="#_x0000_t202" style="position:absolute;left:0pt;margin-left:411.6pt;margin-top:550.05pt;height:9pt;width:18.6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- 11 </w:t>
                  </w:r>
                  <w:r>
                    <w:rPr>
                      <w:rFonts w:ascii="Calibri"/>
                      <w:spacing w:val="-19"/>
                      <w:sz w:val="18"/>
                    </w:rPr>
                    <w:t>-</w:t>
                  </w:r>
                </w:p>
              </w:txbxContent>
            </v:textbox>
          </v:shape>
        </w:pict>
      </w:r>
      <w:r>
        <w:drawing>
          <wp:anchor distT="0" distB="0" distL="0" distR="0" simplePos="0" relativeHeight="251680768" behindDoc="0" locked="0" layoutInCell="1" allowOverlap="1">
            <wp:simplePos x="0" y="0"/>
            <wp:positionH relativeFrom="page">
              <wp:posOffset>1065530</wp:posOffset>
            </wp:positionH>
            <wp:positionV relativeFrom="page">
              <wp:posOffset>727710</wp:posOffset>
            </wp:positionV>
            <wp:extent cx="9626600" cy="683196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1" cstate="print"/>
                    <a:stretch>
                      <a:fillRect/>
                    </a:stretch>
                  </pic:blipFill>
                  <pic:spPr>
                    <a:xfrm>
                      <a:off x="0" y="0"/>
                      <a:ext cx="9626600" cy="6831965"/>
                    </a:xfrm>
                    <a:prstGeom prst="rect">
                      <a:avLst/>
                    </a:prstGeom>
                  </pic:spPr>
                </pic:pic>
              </a:graphicData>
            </a:graphic>
          </wp:anchor>
        </w:drawing>
      </w:r>
    </w:p>
    <w:p>
      <w:pPr>
        <w:spacing w:after="0"/>
        <w:rPr>
          <w:rFonts w:ascii="Times New Roman"/>
          <w:sz w:val="17"/>
        </w:rPr>
        <w:sectPr>
          <w:footerReference r:id="rId11"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1" o:spid="_x0000_s1031" o:spt="202" type="#_x0000_t202" style="position:absolute;left:0pt;margin-left:411.6pt;margin-top:550.05pt;height:9pt;width:18.6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- 12 </w:t>
                  </w:r>
                  <w:r>
                    <w:rPr>
                      <w:rFonts w:ascii="Calibri"/>
                      <w:spacing w:val="-19"/>
                      <w:sz w:val="18"/>
                    </w:rPr>
                    <w:t>-</w:t>
                  </w:r>
                </w:p>
              </w:txbxContent>
            </v:textbox>
          </v:shape>
        </w:pict>
      </w:r>
      <w:r>
        <w:drawing>
          <wp:anchor distT="0" distB="0" distL="0" distR="0" simplePos="0" relativeHeight="251681792" behindDoc="0" locked="0" layoutInCell="1" allowOverlap="1">
            <wp:simplePos x="0" y="0"/>
            <wp:positionH relativeFrom="page">
              <wp:posOffset>1065530</wp:posOffset>
            </wp:positionH>
            <wp:positionV relativeFrom="page">
              <wp:posOffset>746125</wp:posOffset>
            </wp:positionV>
            <wp:extent cx="9626600" cy="68135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32" cstate="print"/>
                    <a:stretch>
                      <a:fillRect/>
                    </a:stretch>
                  </pic:blipFill>
                  <pic:spPr>
                    <a:xfrm>
                      <a:off x="0" y="0"/>
                      <a:ext cx="9626600" cy="6813550"/>
                    </a:xfrm>
                    <a:prstGeom prst="rect">
                      <a:avLst/>
                    </a:prstGeom>
                  </pic:spPr>
                </pic:pic>
              </a:graphicData>
            </a:graphic>
          </wp:anchor>
        </w:drawing>
      </w:r>
    </w:p>
    <w:p>
      <w:pPr>
        <w:spacing w:after="0"/>
        <w:rPr>
          <w:rFonts w:ascii="Times New Roman"/>
          <w:sz w:val="17"/>
        </w:rPr>
        <w:sectPr>
          <w:footerReference r:id="rId12"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2" o:spid="_x0000_s1032" o:spt="202" type="#_x0000_t202" style="position:absolute;left:0pt;margin-left:411.6pt;margin-top:550.05pt;height:9pt;width:18.6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- 13 </w:t>
                  </w:r>
                  <w:r>
                    <w:rPr>
                      <w:rFonts w:ascii="Calibri"/>
                      <w:spacing w:val="-19"/>
                      <w:sz w:val="18"/>
                    </w:rPr>
                    <w:t>-</w:t>
                  </w:r>
                </w:p>
              </w:txbxContent>
            </v:textbox>
          </v:shape>
        </w:pict>
      </w:r>
      <w:r>
        <w:drawing>
          <wp:anchor distT="0" distB="0" distL="0" distR="0" simplePos="0" relativeHeight="251682816" behindDoc="0" locked="0" layoutInCell="1" allowOverlap="1">
            <wp:simplePos x="0" y="0"/>
            <wp:positionH relativeFrom="page">
              <wp:posOffset>1065530</wp:posOffset>
            </wp:positionH>
            <wp:positionV relativeFrom="page">
              <wp:posOffset>723265</wp:posOffset>
            </wp:positionV>
            <wp:extent cx="9626600" cy="683641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33" cstate="print"/>
                    <a:stretch>
                      <a:fillRect/>
                    </a:stretch>
                  </pic:blipFill>
                  <pic:spPr>
                    <a:xfrm>
                      <a:off x="0" y="0"/>
                      <a:ext cx="9626600" cy="6836409"/>
                    </a:xfrm>
                    <a:prstGeom prst="rect">
                      <a:avLst/>
                    </a:prstGeom>
                  </pic:spPr>
                </pic:pic>
              </a:graphicData>
            </a:graphic>
          </wp:anchor>
        </w:drawing>
      </w:r>
    </w:p>
    <w:p>
      <w:pPr>
        <w:spacing w:after="0"/>
        <w:rPr>
          <w:rFonts w:ascii="Times New Roman"/>
          <w:sz w:val="17"/>
        </w:rPr>
        <w:sectPr>
          <w:footerReference r:id="rId13"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3" o:spid="_x0000_s1033" o:spt="202" type="#_x0000_t202" style="position:absolute;left:0pt;margin-left:411.6pt;margin-top:550.05pt;height:9pt;width:18.6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- 14 </w:t>
                  </w:r>
                  <w:r>
                    <w:rPr>
                      <w:rFonts w:ascii="Calibri"/>
                      <w:spacing w:val="-19"/>
                      <w:sz w:val="18"/>
                    </w:rPr>
                    <w:t>-</w:t>
                  </w:r>
                </w:p>
              </w:txbxContent>
            </v:textbox>
          </v:shape>
        </w:pict>
      </w:r>
      <w:r>
        <w:drawing>
          <wp:anchor distT="0" distB="0" distL="0" distR="0" simplePos="0" relativeHeight="251683840" behindDoc="0" locked="0" layoutInCell="1" allowOverlap="1">
            <wp:simplePos x="0" y="0"/>
            <wp:positionH relativeFrom="page">
              <wp:posOffset>1065530</wp:posOffset>
            </wp:positionH>
            <wp:positionV relativeFrom="page">
              <wp:posOffset>775335</wp:posOffset>
            </wp:positionV>
            <wp:extent cx="9626600" cy="678434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34" cstate="print"/>
                    <a:stretch>
                      <a:fillRect/>
                    </a:stretch>
                  </pic:blipFill>
                  <pic:spPr>
                    <a:xfrm>
                      <a:off x="0" y="0"/>
                      <a:ext cx="9626600" cy="6784340"/>
                    </a:xfrm>
                    <a:prstGeom prst="rect">
                      <a:avLst/>
                    </a:prstGeom>
                  </pic:spPr>
                </pic:pic>
              </a:graphicData>
            </a:graphic>
          </wp:anchor>
        </w:drawing>
      </w:r>
    </w:p>
    <w:p>
      <w:pPr>
        <w:spacing w:after="0"/>
        <w:rPr>
          <w:rFonts w:ascii="Times New Roman"/>
          <w:sz w:val="17"/>
        </w:rPr>
        <w:sectPr>
          <w:footerReference r:id="rId14"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4" o:spid="_x0000_s1034" o:spt="202" type="#_x0000_t202" style="position:absolute;left:0pt;margin-left:411.6pt;margin-top:550.05pt;height:9pt;width:18.6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- 15 </w:t>
                  </w:r>
                  <w:r>
                    <w:rPr>
                      <w:rFonts w:ascii="Calibri"/>
                      <w:spacing w:val="-19"/>
                      <w:sz w:val="18"/>
                    </w:rPr>
                    <w:t>-</w:t>
                  </w:r>
                </w:p>
              </w:txbxContent>
            </v:textbox>
          </v:shape>
        </w:pict>
      </w:r>
      <w:r>
        <w:drawing>
          <wp:anchor distT="0" distB="0" distL="0" distR="0" simplePos="0" relativeHeight="251684864" behindDoc="0" locked="0" layoutInCell="1" allowOverlap="1">
            <wp:simplePos x="0" y="0"/>
            <wp:positionH relativeFrom="page">
              <wp:posOffset>1065530</wp:posOffset>
            </wp:positionH>
            <wp:positionV relativeFrom="page">
              <wp:posOffset>784860</wp:posOffset>
            </wp:positionV>
            <wp:extent cx="9626600" cy="677481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35" cstate="print"/>
                    <a:stretch>
                      <a:fillRect/>
                    </a:stretch>
                  </pic:blipFill>
                  <pic:spPr>
                    <a:xfrm>
                      <a:off x="0" y="0"/>
                      <a:ext cx="9626600" cy="6774815"/>
                    </a:xfrm>
                    <a:prstGeom prst="rect">
                      <a:avLst/>
                    </a:prstGeom>
                  </pic:spPr>
                </pic:pic>
              </a:graphicData>
            </a:graphic>
          </wp:anchor>
        </w:drawing>
      </w:r>
    </w:p>
    <w:p>
      <w:pPr>
        <w:spacing w:after="0"/>
        <w:rPr>
          <w:rFonts w:ascii="Times New Roman"/>
          <w:sz w:val="17"/>
        </w:rPr>
        <w:sectPr>
          <w:footerReference r:id="rId15"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5" o:spid="_x0000_s1035" o:spt="202" type="#_x0000_t202" style="position:absolute;left:0pt;margin-left:411.6pt;margin-top:550.05pt;height:9pt;width:18.6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- 16 </w:t>
                  </w:r>
                  <w:r>
                    <w:rPr>
                      <w:rFonts w:ascii="Calibri"/>
                      <w:spacing w:val="-19"/>
                      <w:sz w:val="18"/>
                    </w:rPr>
                    <w:t>-</w:t>
                  </w:r>
                </w:p>
              </w:txbxContent>
            </v:textbox>
          </v:shape>
        </w:pict>
      </w:r>
      <w:r>
        <w:drawing>
          <wp:anchor distT="0" distB="0" distL="0" distR="0" simplePos="0" relativeHeight="251685888" behindDoc="0" locked="0" layoutInCell="1" allowOverlap="1">
            <wp:simplePos x="0" y="0"/>
            <wp:positionH relativeFrom="page">
              <wp:posOffset>1065530</wp:posOffset>
            </wp:positionH>
            <wp:positionV relativeFrom="page">
              <wp:posOffset>732790</wp:posOffset>
            </wp:positionV>
            <wp:extent cx="9626600" cy="682688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36" cstate="print"/>
                    <a:stretch>
                      <a:fillRect/>
                    </a:stretch>
                  </pic:blipFill>
                  <pic:spPr>
                    <a:xfrm>
                      <a:off x="0" y="0"/>
                      <a:ext cx="9626600" cy="6826884"/>
                    </a:xfrm>
                    <a:prstGeom prst="rect">
                      <a:avLst/>
                    </a:prstGeom>
                  </pic:spPr>
                </pic:pic>
              </a:graphicData>
            </a:graphic>
          </wp:anchor>
        </w:drawing>
      </w:r>
    </w:p>
    <w:p>
      <w:pPr>
        <w:spacing w:after="0"/>
        <w:rPr>
          <w:rFonts w:ascii="Times New Roman"/>
          <w:sz w:val="17"/>
        </w:rPr>
        <w:sectPr>
          <w:footerReference r:id="rId16"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6" o:spid="_x0000_s1036" o:spt="202" type="#_x0000_t202" style="position:absolute;left:0pt;margin-left:411.6pt;margin-top:550.05pt;height:9pt;width:18.6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- 17 </w:t>
                  </w:r>
                  <w:r>
                    <w:rPr>
                      <w:rFonts w:ascii="Calibri"/>
                      <w:spacing w:val="-19"/>
                      <w:sz w:val="18"/>
                    </w:rPr>
                    <w:t>-</w:t>
                  </w:r>
                </w:p>
              </w:txbxContent>
            </v:textbox>
          </v:shape>
        </w:pict>
      </w:r>
      <w:r>
        <w:drawing>
          <wp:anchor distT="0" distB="0" distL="0" distR="0" simplePos="0" relativeHeight="251686912" behindDoc="0" locked="0" layoutInCell="1" allowOverlap="1">
            <wp:simplePos x="0" y="0"/>
            <wp:positionH relativeFrom="page">
              <wp:posOffset>1065530</wp:posOffset>
            </wp:positionH>
            <wp:positionV relativeFrom="page">
              <wp:posOffset>784860</wp:posOffset>
            </wp:positionV>
            <wp:extent cx="9626600" cy="677481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37" cstate="print"/>
                    <a:stretch>
                      <a:fillRect/>
                    </a:stretch>
                  </pic:blipFill>
                  <pic:spPr>
                    <a:xfrm>
                      <a:off x="0" y="0"/>
                      <a:ext cx="9626600" cy="6774815"/>
                    </a:xfrm>
                    <a:prstGeom prst="rect">
                      <a:avLst/>
                    </a:prstGeom>
                  </pic:spPr>
                </pic:pic>
              </a:graphicData>
            </a:graphic>
          </wp:anchor>
        </w:drawing>
      </w:r>
    </w:p>
    <w:p>
      <w:pPr>
        <w:spacing w:after="0"/>
        <w:rPr>
          <w:rFonts w:ascii="Times New Roman"/>
          <w:sz w:val="17"/>
        </w:rPr>
        <w:sectPr>
          <w:footerReference r:id="rId17"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7" o:spid="_x0000_s1037" o:spt="202" type="#_x0000_t202" style="position:absolute;left:0pt;margin-left:411.6pt;margin-top:550.05pt;height:9pt;width:18.6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- 18 </w:t>
                  </w:r>
                  <w:r>
                    <w:rPr>
                      <w:rFonts w:ascii="Calibri"/>
                      <w:spacing w:val="-19"/>
                      <w:sz w:val="18"/>
                    </w:rPr>
                    <w:t>-</w:t>
                  </w:r>
                </w:p>
              </w:txbxContent>
            </v:textbox>
          </v:shape>
        </w:pict>
      </w:r>
      <w:r>
        <w:drawing>
          <wp:anchor distT="0" distB="0" distL="0" distR="0" simplePos="0" relativeHeight="251687936" behindDoc="0" locked="0" layoutInCell="1" allowOverlap="1">
            <wp:simplePos x="0" y="0"/>
            <wp:positionH relativeFrom="page">
              <wp:posOffset>1065530</wp:posOffset>
            </wp:positionH>
            <wp:positionV relativeFrom="page">
              <wp:posOffset>723265</wp:posOffset>
            </wp:positionV>
            <wp:extent cx="9626600" cy="683641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38" cstate="print"/>
                    <a:stretch>
                      <a:fillRect/>
                    </a:stretch>
                  </pic:blipFill>
                  <pic:spPr>
                    <a:xfrm>
                      <a:off x="0" y="0"/>
                      <a:ext cx="9626600" cy="6836409"/>
                    </a:xfrm>
                    <a:prstGeom prst="rect">
                      <a:avLst/>
                    </a:prstGeom>
                  </pic:spPr>
                </pic:pic>
              </a:graphicData>
            </a:graphic>
          </wp:anchor>
        </w:drawing>
      </w:r>
    </w:p>
    <w:p>
      <w:pPr>
        <w:spacing w:after="0"/>
        <w:rPr>
          <w:rFonts w:ascii="Times New Roman"/>
          <w:sz w:val="17"/>
        </w:rPr>
        <w:sectPr>
          <w:footerReference r:id="rId18"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8" o:spid="_x0000_s1038" o:spt="202" type="#_x0000_t202" style="position:absolute;left:0pt;margin-left:411.6pt;margin-top:550.05pt;height:9pt;width:18.6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- 19 </w:t>
                  </w:r>
                  <w:r>
                    <w:rPr>
                      <w:rFonts w:ascii="Calibri"/>
                      <w:spacing w:val="-19"/>
                      <w:sz w:val="18"/>
                    </w:rPr>
                    <w:t>-</w:t>
                  </w:r>
                </w:p>
              </w:txbxContent>
            </v:textbox>
          </v:shape>
        </w:pict>
      </w:r>
      <w:r>
        <w:drawing>
          <wp:anchor distT="0" distB="0" distL="0" distR="0" simplePos="0" relativeHeight="251688960" behindDoc="0" locked="0" layoutInCell="1" allowOverlap="1">
            <wp:simplePos x="0" y="0"/>
            <wp:positionH relativeFrom="page">
              <wp:posOffset>1065530</wp:posOffset>
            </wp:positionH>
            <wp:positionV relativeFrom="page">
              <wp:posOffset>770890</wp:posOffset>
            </wp:positionV>
            <wp:extent cx="9626600" cy="6788785"/>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39" cstate="print"/>
                    <a:stretch>
                      <a:fillRect/>
                    </a:stretch>
                  </pic:blipFill>
                  <pic:spPr>
                    <a:xfrm>
                      <a:off x="0" y="0"/>
                      <a:ext cx="9626600" cy="6788784"/>
                    </a:xfrm>
                    <a:prstGeom prst="rect">
                      <a:avLst/>
                    </a:prstGeom>
                  </pic:spPr>
                </pic:pic>
              </a:graphicData>
            </a:graphic>
          </wp:anchor>
        </w:drawing>
      </w:r>
    </w:p>
    <w:p>
      <w:pPr>
        <w:spacing w:after="0"/>
        <w:rPr>
          <w:rFonts w:ascii="Times New Roman"/>
          <w:sz w:val="17"/>
        </w:rPr>
        <w:sectPr>
          <w:footerReference r:id="rId19"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39" o:spid="_x0000_s1039" o:spt="202" type="#_x0000_t202" style="position:absolute;left:0pt;margin-left:411.6pt;margin-top:550.05pt;height:9pt;width:18.6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- 20 </w:t>
                  </w:r>
                  <w:r>
                    <w:rPr>
                      <w:rFonts w:ascii="Calibri"/>
                      <w:spacing w:val="-19"/>
                      <w:sz w:val="18"/>
                    </w:rPr>
                    <w:t>-</w:t>
                  </w:r>
                </w:p>
              </w:txbxContent>
            </v:textbox>
          </v:shape>
        </w:pict>
      </w:r>
      <w:r>
        <w:drawing>
          <wp:anchor distT="0" distB="0" distL="0" distR="0" simplePos="0" relativeHeight="251689984" behindDoc="0" locked="0" layoutInCell="1" allowOverlap="1">
            <wp:simplePos x="0" y="0"/>
            <wp:positionH relativeFrom="page">
              <wp:posOffset>1065530</wp:posOffset>
            </wp:positionH>
            <wp:positionV relativeFrom="page">
              <wp:posOffset>774700</wp:posOffset>
            </wp:positionV>
            <wp:extent cx="9626600" cy="678497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40" cstate="print"/>
                    <a:stretch>
                      <a:fillRect/>
                    </a:stretch>
                  </pic:blipFill>
                  <pic:spPr>
                    <a:xfrm>
                      <a:off x="0" y="0"/>
                      <a:ext cx="9626600" cy="6784975"/>
                    </a:xfrm>
                    <a:prstGeom prst="rect">
                      <a:avLst/>
                    </a:prstGeom>
                  </pic:spPr>
                </pic:pic>
              </a:graphicData>
            </a:graphic>
          </wp:anchor>
        </w:drawing>
      </w:r>
    </w:p>
    <w:p>
      <w:pPr>
        <w:spacing w:after="0"/>
        <w:rPr>
          <w:rFonts w:ascii="Times New Roman"/>
          <w:sz w:val="17"/>
        </w:rPr>
        <w:sectPr>
          <w:footerReference r:id="rId20" w:type="default"/>
          <w:pgSz w:w="16840" w:h="11910" w:orient="landscape"/>
          <w:pgMar w:top="1100" w:right="0" w:bottom="280" w:left="1560" w:header="0" w:footer="0" w:gutter="0"/>
          <w:cols w:space="720" w:num="1"/>
        </w:sectPr>
      </w:pPr>
    </w:p>
    <w:p>
      <w:pPr>
        <w:pStyle w:val="4"/>
        <w:spacing w:before="4"/>
        <w:rPr>
          <w:rFonts w:ascii="Times New Roman"/>
          <w:sz w:val="17"/>
        </w:rPr>
      </w:pPr>
      <w:r>
        <w:pict>
          <v:shape id="_x0000_s1040" o:spid="_x0000_s1040" o:spt="202" type="#_x0000_t202" style="position:absolute;left:0pt;margin-left:411.6pt;margin-top:550.05pt;height:9pt;width:18.6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0" w:line="180" w:lineRule="exact"/>
                    <w:ind w:left="0" w:right="0" w:firstLine="0"/>
                    <w:jc w:val="left"/>
                    <w:rPr>
                      <w:rFonts w:ascii="Calibri"/>
                      <w:sz w:val="18"/>
                    </w:rPr>
                  </w:pPr>
                  <w:r>
                    <w:rPr>
                      <w:rFonts w:ascii="Calibri"/>
                      <w:sz w:val="18"/>
                    </w:rPr>
                    <w:t xml:space="preserve">- 21 </w:t>
                  </w:r>
                  <w:r>
                    <w:rPr>
                      <w:rFonts w:ascii="Calibri"/>
                      <w:spacing w:val="-19"/>
                      <w:sz w:val="18"/>
                    </w:rPr>
                    <w:t>-</w:t>
                  </w:r>
                </w:p>
              </w:txbxContent>
            </v:textbox>
          </v:shape>
        </w:pict>
      </w:r>
      <w:r>
        <w:drawing>
          <wp:anchor distT="0" distB="0" distL="0" distR="0" simplePos="0" relativeHeight="251691008" behindDoc="0" locked="0" layoutInCell="1" allowOverlap="1">
            <wp:simplePos x="0" y="0"/>
            <wp:positionH relativeFrom="page">
              <wp:posOffset>1065530</wp:posOffset>
            </wp:positionH>
            <wp:positionV relativeFrom="page">
              <wp:posOffset>803275</wp:posOffset>
            </wp:positionV>
            <wp:extent cx="9626600" cy="675640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41" cstate="print"/>
                    <a:stretch>
                      <a:fillRect/>
                    </a:stretch>
                  </pic:blipFill>
                  <pic:spPr>
                    <a:xfrm>
                      <a:off x="0" y="0"/>
                      <a:ext cx="9626600" cy="6756400"/>
                    </a:xfrm>
                    <a:prstGeom prst="rect">
                      <a:avLst/>
                    </a:prstGeom>
                  </pic:spPr>
                </pic:pic>
              </a:graphicData>
            </a:graphic>
          </wp:anchor>
        </w:drawing>
      </w:r>
    </w:p>
    <w:p>
      <w:pPr>
        <w:spacing w:after="0"/>
        <w:rPr>
          <w:rFonts w:ascii="Times New Roman"/>
          <w:sz w:val="17"/>
        </w:rPr>
        <w:sectPr>
          <w:footerReference r:id="rId21" w:type="default"/>
          <w:pgSz w:w="16840" w:h="11910" w:orient="landscape"/>
          <w:pgMar w:top="1100" w:right="0" w:bottom="280" w:left="1560" w:header="0" w:footer="0" w:gutter="0"/>
          <w:cols w:space="720" w:num="1"/>
        </w:sectPr>
      </w:pPr>
    </w:p>
    <w:p>
      <w:pPr>
        <w:pStyle w:val="4"/>
        <w:spacing w:before="135"/>
        <w:ind w:left="117"/>
        <w:rPr>
          <w:rFonts w:hint="eastAsia" w:ascii="宋体" w:eastAsia="宋体"/>
        </w:rPr>
      </w:pPr>
      <w:r>
        <w:rPr>
          <w:rFonts w:hint="eastAsia" w:ascii="宋体" w:eastAsia="宋体"/>
        </w:rPr>
        <w:t>一般公共预算财政拨款基本支出决算表</w:t>
      </w:r>
    </w:p>
    <w:p>
      <w:pPr>
        <w:spacing w:after="0"/>
        <w:rPr>
          <w:rFonts w:hint="eastAsia" w:ascii="宋体" w:eastAsia="宋体"/>
        </w:rPr>
        <w:sectPr>
          <w:footerReference r:id="rId22" w:type="default"/>
          <w:pgSz w:w="16840" w:h="11910" w:orient="landscape"/>
          <w:pgMar w:top="1100" w:right="0" w:bottom="820" w:left="1560" w:header="0" w:footer="624" w:gutter="0"/>
          <w:pgNumType w:start="22"/>
          <w:cols w:space="720" w:num="1"/>
        </w:sectPr>
      </w:pPr>
    </w:p>
    <w:p>
      <w:pPr>
        <w:pStyle w:val="4"/>
        <w:spacing w:before="11"/>
        <w:rPr>
          <w:rFonts w:ascii="Times New Roman"/>
          <w:sz w:val="14"/>
        </w:rPr>
      </w:pPr>
    </w:p>
    <w:p>
      <w:pPr>
        <w:pStyle w:val="4"/>
        <w:ind w:left="118"/>
        <w:rPr>
          <w:rFonts w:ascii="Times New Roman"/>
          <w:sz w:val="20"/>
        </w:rPr>
      </w:pPr>
      <w:r>
        <w:rPr>
          <w:rFonts w:ascii="Times New Roman"/>
          <w:sz w:val="20"/>
        </w:rPr>
        <w:drawing>
          <wp:inline distT="0" distB="0" distL="0" distR="0">
            <wp:extent cx="8769350" cy="588391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2" cstate="print"/>
                    <a:stretch>
                      <a:fillRect/>
                    </a:stretch>
                  </pic:blipFill>
                  <pic:spPr>
                    <a:xfrm>
                      <a:off x="0" y="0"/>
                      <a:ext cx="8769812" cy="5884164"/>
                    </a:xfrm>
                    <a:prstGeom prst="rect">
                      <a:avLst/>
                    </a:prstGeom>
                  </pic:spPr>
                </pic:pic>
              </a:graphicData>
            </a:graphic>
          </wp:inline>
        </w:drawing>
      </w:r>
    </w:p>
    <w:p>
      <w:pPr>
        <w:spacing w:after="0"/>
        <w:rPr>
          <w:rFonts w:ascii="Times New Roman"/>
          <w:sz w:val="20"/>
        </w:rPr>
        <w:sectPr>
          <w:pgSz w:w="16840" w:h="11910" w:orient="landscape"/>
          <w:pgMar w:top="1100" w:right="0" w:bottom="820" w:left="1560" w:header="0" w:footer="624" w:gutter="0"/>
          <w:cols w:space="720" w:num="1"/>
        </w:sectPr>
      </w:pPr>
    </w:p>
    <w:p>
      <w:pPr>
        <w:pStyle w:val="4"/>
        <w:spacing w:before="11"/>
        <w:rPr>
          <w:rFonts w:ascii="Times New Roman"/>
          <w:sz w:val="14"/>
        </w:rPr>
      </w:pPr>
    </w:p>
    <w:p>
      <w:pPr>
        <w:pStyle w:val="4"/>
        <w:ind w:left="118"/>
        <w:rPr>
          <w:rFonts w:ascii="Times New Roman"/>
          <w:sz w:val="20"/>
        </w:rPr>
      </w:pPr>
      <w:r>
        <w:rPr>
          <w:rFonts w:ascii="Times New Roman"/>
          <w:sz w:val="20"/>
        </w:rPr>
        <w:drawing>
          <wp:inline distT="0" distB="0" distL="0" distR="0">
            <wp:extent cx="8769350" cy="5883910"/>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a:picLocks noChangeAspect="1"/>
                    </pic:cNvPicPr>
                  </pic:nvPicPr>
                  <pic:blipFill>
                    <a:blip r:embed="rId42" cstate="print"/>
                    <a:stretch>
                      <a:fillRect/>
                    </a:stretch>
                  </pic:blipFill>
                  <pic:spPr>
                    <a:xfrm>
                      <a:off x="0" y="0"/>
                      <a:ext cx="8769812" cy="5884164"/>
                    </a:xfrm>
                    <a:prstGeom prst="rect">
                      <a:avLst/>
                    </a:prstGeom>
                  </pic:spPr>
                </pic:pic>
              </a:graphicData>
            </a:graphic>
          </wp:inline>
        </w:drawing>
      </w:r>
    </w:p>
    <w:p>
      <w:pPr>
        <w:spacing w:after="0"/>
        <w:rPr>
          <w:rFonts w:ascii="Times New Roman"/>
          <w:sz w:val="20"/>
        </w:rPr>
        <w:sectPr>
          <w:pgSz w:w="16840" w:h="11910" w:orient="landscape"/>
          <w:pgMar w:top="1100" w:right="0" w:bottom="820" w:left="1560" w:header="0" w:footer="624" w:gutter="0"/>
          <w:cols w:space="720" w:num="1"/>
        </w:sectPr>
      </w:pPr>
    </w:p>
    <w:p>
      <w:pPr>
        <w:pStyle w:val="4"/>
        <w:spacing w:before="11"/>
        <w:rPr>
          <w:rFonts w:ascii="Times New Roman"/>
          <w:sz w:val="10"/>
        </w:rPr>
      </w:pPr>
    </w:p>
    <w:p>
      <w:pPr>
        <w:pStyle w:val="4"/>
        <w:ind w:left="118" w:right="-29"/>
        <w:rPr>
          <w:rFonts w:ascii="Times New Roman"/>
          <w:sz w:val="20"/>
        </w:rPr>
      </w:pPr>
      <w:r>
        <w:rPr>
          <w:rFonts w:ascii="Times New Roman"/>
          <w:sz w:val="20"/>
        </w:rPr>
        <w:drawing>
          <wp:inline distT="0" distB="0" distL="0" distR="0">
            <wp:extent cx="9612630" cy="6008370"/>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43" cstate="print"/>
                    <a:stretch>
                      <a:fillRect/>
                    </a:stretch>
                  </pic:blipFill>
                  <pic:spPr>
                    <a:xfrm>
                      <a:off x="0" y="0"/>
                      <a:ext cx="9612987" cy="6008751"/>
                    </a:xfrm>
                    <a:prstGeom prst="rect">
                      <a:avLst/>
                    </a:prstGeom>
                  </pic:spPr>
                </pic:pic>
              </a:graphicData>
            </a:graphic>
          </wp:inline>
        </w:drawing>
      </w:r>
    </w:p>
    <w:p>
      <w:pPr>
        <w:spacing w:after="0"/>
        <w:rPr>
          <w:rFonts w:ascii="Times New Roman"/>
          <w:sz w:val="20"/>
        </w:rPr>
        <w:sectPr>
          <w:pgSz w:w="16840" w:h="11910" w:orient="landscape"/>
          <w:pgMar w:top="1100" w:right="0" w:bottom="820" w:left="1560" w:header="0" w:footer="624" w:gutter="0"/>
          <w:cols w:space="720" w:num="1"/>
        </w:sectPr>
      </w:pPr>
    </w:p>
    <w:p>
      <w:pPr>
        <w:pStyle w:val="4"/>
        <w:spacing w:before="1"/>
        <w:rPr>
          <w:rFonts w:ascii="Times New Roman"/>
          <w:sz w:val="12"/>
        </w:rPr>
      </w:pPr>
    </w:p>
    <w:p>
      <w:pPr>
        <w:pStyle w:val="4"/>
        <w:ind w:left="118"/>
        <w:rPr>
          <w:rFonts w:ascii="Times New Roman"/>
          <w:sz w:val="20"/>
        </w:rPr>
      </w:pPr>
      <w:r>
        <w:rPr>
          <w:rFonts w:ascii="Times New Roman"/>
          <w:sz w:val="20"/>
        </w:rPr>
        <w:drawing>
          <wp:inline distT="0" distB="0" distL="0" distR="0">
            <wp:extent cx="9587865" cy="6173470"/>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44" cstate="print"/>
                    <a:stretch>
                      <a:fillRect/>
                    </a:stretch>
                  </pic:blipFill>
                  <pic:spPr>
                    <a:xfrm>
                      <a:off x="0" y="0"/>
                      <a:ext cx="9588383" cy="6173628"/>
                    </a:xfrm>
                    <a:prstGeom prst="rect">
                      <a:avLst/>
                    </a:prstGeom>
                  </pic:spPr>
                </pic:pic>
              </a:graphicData>
            </a:graphic>
          </wp:inline>
        </w:drawing>
      </w:r>
    </w:p>
    <w:p>
      <w:pPr>
        <w:spacing w:after="0"/>
        <w:rPr>
          <w:rFonts w:ascii="Times New Roman"/>
          <w:sz w:val="20"/>
        </w:rPr>
        <w:sectPr>
          <w:pgSz w:w="16840" w:h="11910" w:orient="landscape"/>
          <w:pgMar w:top="1100" w:right="0" w:bottom="820" w:left="1560" w:header="0" w:footer="624" w:gutter="0"/>
          <w:cols w:space="720" w:num="1"/>
        </w:sectPr>
      </w:pPr>
    </w:p>
    <w:p>
      <w:pPr>
        <w:pStyle w:val="4"/>
        <w:spacing w:before="5"/>
        <w:rPr>
          <w:rFonts w:ascii="Times New Roman"/>
          <w:sz w:val="15"/>
        </w:rPr>
      </w:pPr>
    </w:p>
    <w:p>
      <w:pPr>
        <w:pStyle w:val="4"/>
        <w:ind w:left="118"/>
        <w:rPr>
          <w:rFonts w:ascii="Times New Roman"/>
          <w:sz w:val="20"/>
        </w:rPr>
      </w:pPr>
      <w:r>
        <w:rPr>
          <w:rFonts w:ascii="Times New Roman"/>
          <w:sz w:val="20"/>
        </w:rPr>
        <w:drawing>
          <wp:inline distT="0" distB="0" distL="0" distR="0">
            <wp:extent cx="9528810" cy="2175510"/>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a:picLocks noChangeAspect="1"/>
                    </pic:cNvPicPr>
                  </pic:nvPicPr>
                  <pic:blipFill>
                    <a:blip r:embed="rId45" cstate="print"/>
                    <a:stretch>
                      <a:fillRect/>
                    </a:stretch>
                  </pic:blipFill>
                  <pic:spPr>
                    <a:xfrm>
                      <a:off x="0" y="0"/>
                      <a:ext cx="9529353" cy="2175700"/>
                    </a:xfrm>
                    <a:prstGeom prst="rect">
                      <a:avLst/>
                    </a:prstGeom>
                  </pic:spPr>
                </pic:pic>
              </a:graphicData>
            </a:graphic>
          </wp:inline>
        </w:drawing>
      </w:r>
    </w:p>
    <w:p>
      <w:pPr>
        <w:spacing w:after="0"/>
        <w:rPr>
          <w:rFonts w:ascii="Times New Roman"/>
          <w:sz w:val="20"/>
        </w:rPr>
        <w:sectPr>
          <w:pgSz w:w="16840" w:h="11910" w:orient="landscape"/>
          <w:pgMar w:top="1100" w:right="0" w:bottom="820" w:left="1560" w:header="0" w:footer="624" w:gutter="0"/>
          <w:cols w:space="720" w:num="1"/>
        </w:sectPr>
      </w:pPr>
    </w:p>
    <w:p>
      <w:pPr>
        <w:pStyle w:val="4"/>
        <w:spacing w:before="5"/>
        <w:rPr>
          <w:rFonts w:ascii="Times New Roman"/>
          <w:sz w:val="5"/>
        </w:rPr>
      </w:pPr>
    </w:p>
    <w:p>
      <w:pPr>
        <w:pStyle w:val="4"/>
        <w:ind w:left="118"/>
        <w:rPr>
          <w:rFonts w:ascii="Times New Roman"/>
          <w:sz w:val="20"/>
        </w:rPr>
      </w:pPr>
      <w:r>
        <w:rPr>
          <w:rFonts w:ascii="Times New Roman"/>
          <w:sz w:val="20"/>
        </w:rPr>
        <w:drawing>
          <wp:inline distT="0" distB="0" distL="0" distR="0">
            <wp:extent cx="9370060" cy="3128010"/>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pic:cNvPicPr>
                      <a:picLocks noChangeAspect="1"/>
                    </pic:cNvPicPr>
                  </pic:nvPicPr>
                  <pic:blipFill>
                    <a:blip r:embed="rId46" cstate="print"/>
                    <a:stretch>
                      <a:fillRect/>
                    </a:stretch>
                  </pic:blipFill>
                  <pic:spPr>
                    <a:xfrm>
                      <a:off x="0" y="0"/>
                      <a:ext cx="9370551" cy="3128391"/>
                    </a:xfrm>
                    <a:prstGeom prst="rect">
                      <a:avLst/>
                    </a:prstGeom>
                  </pic:spPr>
                </pic:pic>
              </a:graphicData>
            </a:graphic>
          </wp:inline>
        </w:drawing>
      </w:r>
    </w:p>
    <w:p>
      <w:pPr>
        <w:pStyle w:val="4"/>
        <w:rPr>
          <w:rFonts w:ascii="Times New Roman"/>
          <w:sz w:val="20"/>
        </w:rPr>
      </w:pPr>
    </w:p>
    <w:p>
      <w:pPr>
        <w:pStyle w:val="4"/>
        <w:spacing w:before="219"/>
        <w:ind w:left="117"/>
      </w:pPr>
      <w:r>
        <w:t>说明：我部门没有政府性基金收入，也没有使用政府性基金安排的支出，故本表无数据。</w:t>
      </w:r>
    </w:p>
    <w:p>
      <w:pPr>
        <w:spacing w:after="0"/>
        <w:sectPr>
          <w:pgSz w:w="16840" w:h="11910" w:orient="landscape"/>
          <w:pgMar w:top="1100" w:right="0" w:bottom="820" w:left="1560" w:header="0" w:footer="624" w:gutter="0"/>
          <w:cols w:space="720" w:num="1"/>
        </w:sectPr>
      </w:pPr>
    </w:p>
    <w:p>
      <w:pPr>
        <w:pStyle w:val="4"/>
        <w:spacing w:before="4"/>
        <w:rPr>
          <w:rFonts w:ascii="Times New Roman"/>
          <w:sz w:val="17"/>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6"/>
        <w:rPr>
          <w:rFonts w:ascii="Times New Roman"/>
          <w:sz w:val="23"/>
        </w:rPr>
      </w:pPr>
    </w:p>
    <w:p>
      <w:pPr>
        <w:pStyle w:val="2"/>
        <w:tabs>
          <w:tab w:val="left" w:pos="2731"/>
        </w:tabs>
        <w:spacing w:before="33"/>
        <w:ind w:left="332"/>
      </w:pPr>
      <w:r>
        <w:t>第三部分</w:t>
      </w:r>
      <w:r>
        <w:tab/>
      </w:r>
      <w:r>
        <w:t>2018</w:t>
      </w:r>
      <w:r>
        <w:rPr>
          <w:spacing w:val="-120"/>
        </w:rPr>
        <w:t xml:space="preserve"> </w:t>
      </w:r>
      <w:r>
        <w:t>年度部门决算情况说明</w:t>
      </w:r>
    </w:p>
    <w:p>
      <w:pPr>
        <w:spacing w:after="0"/>
        <w:sectPr>
          <w:footerReference r:id="rId23" w:type="default"/>
          <w:pgSz w:w="11910" w:h="16840"/>
          <w:pgMar w:top="1580" w:right="1200" w:bottom="900" w:left="1480" w:header="0" w:footer="704" w:gutter="0"/>
          <w:pgNumType w:start="30"/>
          <w:cols w:space="720" w:num="1"/>
        </w:sectPr>
      </w:pPr>
    </w:p>
    <w:p>
      <w:pPr>
        <w:pStyle w:val="4"/>
        <w:keepNext w:val="0"/>
        <w:keepLines w:val="0"/>
        <w:pageBreakBefore w:val="0"/>
        <w:widowControl w:val="0"/>
        <w:kinsoku/>
        <w:wordWrap/>
        <w:overflowPunct/>
        <w:topLinePunct w:val="0"/>
        <w:autoSpaceDE w:val="0"/>
        <w:autoSpaceDN w:val="0"/>
        <w:bidi w:val="0"/>
        <w:adjustRightInd/>
        <w:snapToGrid/>
        <w:spacing w:before="35"/>
        <w:textAlignment w:val="auto"/>
        <w:rPr>
          <w:rFonts w:hint="eastAsia" w:ascii="黑体" w:eastAsia="黑体"/>
        </w:rPr>
      </w:pPr>
      <w:r>
        <w:rPr>
          <w:rFonts w:hint="eastAsia" w:ascii="黑体" w:eastAsia="黑体"/>
        </w:rPr>
        <w:t>一、收入支出决算总体情况说明</w:t>
      </w:r>
    </w:p>
    <w:p>
      <w:pPr>
        <w:pStyle w:val="4"/>
        <w:keepNext w:val="0"/>
        <w:keepLines w:val="0"/>
        <w:pageBreakBefore w:val="0"/>
        <w:widowControl w:val="0"/>
        <w:kinsoku/>
        <w:wordWrap/>
        <w:overflowPunct/>
        <w:topLinePunct w:val="0"/>
        <w:autoSpaceDE w:val="0"/>
        <w:autoSpaceDN w:val="0"/>
        <w:bidi w:val="0"/>
        <w:adjustRightInd/>
        <w:snapToGrid/>
        <w:spacing w:before="135" w:line="364" w:lineRule="auto"/>
        <w:ind w:left="320" w:right="504" w:firstLine="640" w:firstLineChars="200"/>
        <w:jc w:val="both"/>
        <w:textAlignment w:val="auto"/>
      </w:pPr>
      <w:r>
        <w:t>2018</w:t>
      </w:r>
      <w:r>
        <w:rPr>
          <w:spacing w:val="-17"/>
        </w:rPr>
        <w:t xml:space="preserve"> 年度收、支总计均为 </w:t>
      </w:r>
      <w:r>
        <w:t>391.7</w:t>
      </w:r>
      <w:r>
        <w:rPr>
          <w:spacing w:val="-10"/>
        </w:rPr>
        <w:t xml:space="preserve"> 万元。与上年度相比，收、</w:t>
      </w:r>
      <w:r>
        <w:rPr>
          <w:spacing w:val="-10"/>
          <w:position w:val="1"/>
        </w:rPr>
        <w:t>支总计各增加</w:t>
      </w:r>
      <w:r>
        <w:rPr>
          <w:spacing w:val="-84"/>
          <w:position w:val="1"/>
        </w:rPr>
        <w:t xml:space="preserve"> </w:t>
      </w:r>
      <w:r>
        <w:rPr>
          <w:position w:val="1"/>
        </w:rPr>
        <w:t>31.99</w:t>
      </w:r>
      <w:r>
        <w:rPr>
          <w:spacing w:val="-82"/>
          <w:position w:val="1"/>
        </w:rPr>
        <w:t xml:space="preserve"> </w:t>
      </w:r>
      <w:r>
        <w:rPr>
          <w:position w:val="1"/>
        </w:rPr>
        <w:t>万元</w:t>
      </w:r>
      <w:r>
        <w:rPr>
          <w:spacing w:val="-31"/>
          <w:position w:val="1"/>
        </w:rPr>
        <w:t>，</w:t>
      </w:r>
      <w:r>
        <w:rPr>
          <w:position w:val="1"/>
        </w:rPr>
        <w:t>增长</w:t>
      </w:r>
      <w:r>
        <w:rPr>
          <w:spacing w:val="-81"/>
          <w:position w:val="1"/>
        </w:rPr>
        <w:t xml:space="preserve"> </w:t>
      </w:r>
      <w:r>
        <w:rPr>
          <w:spacing w:val="11"/>
          <w:position w:val="1"/>
        </w:rPr>
        <w:t>9</w:t>
      </w:r>
      <w:r>
        <w:rPr>
          <w:spacing w:val="11"/>
          <w:w w:val="99"/>
        </w:rPr>
        <w:drawing>
          <wp:inline distT="0" distB="0" distL="0" distR="0">
            <wp:extent cx="85090" cy="154940"/>
            <wp:effectExtent l="0" t="0" r="0"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29"/>
          <w:position w:val="1"/>
        </w:rPr>
        <w:t>。</w:t>
      </w:r>
      <w:r>
        <w:rPr>
          <w:position w:val="1"/>
        </w:rPr>
        <w:t>主要原因是</w:t>
      </w:r>
      <w:r>
        <w:rPr>
          <w:spacing w:val="-29"/>
          <w:position w:val="1"/>
        </w:rPr>
        <w:t>：</w:t>
      </w:r>
      <w:r>
        <w:rPr>
          <w:position w:val="1"/>
        </w:rPr>
        <w:t>工资结构</w:t>
      </w:r>
      <w:r>
        <w:t>改变、人员工资上涨、办公业务增加。</w:t>
      </w:r>
    </w:p>
    <w:p>
      <w:pPr>
        <w:pStyle w:val="4"/>
        <w:spacing w:before="46"/>
        <w:rPr>
          <w:rFonts w:hint="eastAsia" w:ascii="黑体" w:eastAsia="黑体"/>
        </w:rPr>
      </w:pPr>
      <w:r>
        <w:rPr>
          <w:rFonts w:hint="eastAsia" w:ascii="黑体" w:eastAsia="黑体"/>
        </w:rPr>
        <w:t>二、收入决算情况说明</w:t>
      </w:r>
    </w:p>
    <w:p>
      <w:pPr>
        <w:pStyle w:val="4"/>
        <w:spacing w:before="180"/>
        <w:ind w:left="960"/>
      </w:pPr>
      <w:r>
        <w:t>2018 年度收入合计 338.17 万元，其中：财政拨款收入</w:t>
      </w:r>
    </w:p>
    <w:p>
      <w:pPr>
        <w:pStyle w:val="4"/>
        <w:spacing w:before="186"/>
        <w:ind w:left="320"/>
      </w:pPr>
      <w:r>
        <w:t>338.17</w:t>
      </w:r>
      <w:r>
        <w:rPr>
          <w:spacing w:val="-84"/>
        </w:rPr>
        <w:t xml:space="preserve"> </w:t>
      </w:r>
      <w:r>
        <w:t>万元，占</w:t>
      </w:r>
      <w:r>
        <w:rPr>
          <w:spacing w:val="-81"/>
        </w:rPr>
        <w:t xml:space="preserve"> </w:t>
      </w:r>
      <w:r>
        <w:rPr>
          <w:spacing w:val="3"/>
        </w:rPr>
        <w:t>100</w:t>
      </w:r>
      <w:r>
        <w:rPr>
          <w:spacing w:val="8"/>
          <w:w w:val="99"/>
        </w:rPr>
        <w:drawing>
          <wp:inline distT="0" distB="0" distL="0" distR="0">
            <wp:extent cx="85090" cy="154940"/>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w:t>
      </w:r>
    </w:p>
    <w:p>
      <w:pPr>
        <w:pStyle w:val="4"/>
        <w:spacing w:before="175"/>
        <w:rPr>
          <w:rFonts w:hint="eastAsia" w:ascii="黑体" w:eastAsia="黑体"/>
        </w:rPr>
      </w:pPr>
      <w:r>
        <w:rPr>
          <w:rFonts w:hint="eastAsia" w:ascii="黑体" w:eastAsia="黑体"/>
        </w:rPr>
        <w:t>三、支出决算情况说明</w:t>
      </w:r>
    </w:p>
    <w:p>
      <w:pPr>
        <w:pStyle w:val="4"/>
        <w:keepNext w:val="0"/>
        <w:keepLines w:val="0"/>
        <w:pageBreakBefore w:val="0"/>
        <w:widowControl w:val="0"/>
        <w:kinsoku/>
        <w:wordWrap/>
        <w:overflowPunct/>
        <w:topLinePunct w:val="0"/>
        <w:autoSpaceDE w:val="0"/>
        <w:autoSpaceDN w:val="0"/>
        <w:bidi w:val="0"/>
        <w:adjustRightInd/>
        <w:snapToGrid/>
        <w:spacing w:before="135" w:line="368" w:lineRule="auto"/>
        <w:ind w:left="317" w:right="601" w:firstLine="640" w:firstLineChars="200"/>
        <w:jc w:val="both"/>
        <w:textAlignment w:val="auto"/>
      </w:pPr>
      <w:r>
        <w:t>2018</w:t>
      </w:r>
      <w:r>
        <w:rPr>
          <w:spacing w:val="-22"/>
        </w:rPr>
        <w:t xml:space="preserve"> 年度支出合计 </w:t>
      </w:r>
      <w:r>
        <w:t>316.23</w:t>
      </w:r>
      <w:r>
        <w:rPr>
          <w:spacing w:val="-25"/>
        </w:rPr>
        <w:t xml:space="preserve"> 万元，其中：基本支出 </w:t>
      </w:r>
      <w:r>
        <w:t>269.96</w:t>
      </w:r>
      <w:r>
        <w:rPr>
          <w:spacing w:val="-43"/>
        </w:rPr>
        <w:t xml:space="preserve"> 万元，占</w:t>
      </w:r>
      <w:r>
        <w:rPr>
          <w:spacing w:val="-83"/>
        </w:rPr>
        <w:t xml:space="preserve"> </w:t>
      </w:r>
      <w:r>
        <w:rPr>
          <w:spacing w:val="6"/>
        </w:rPr>
        <w:t>85</w:t>
      </w:r>
      <w:r>
        <w:rPr>
          <w:spacing w:val="11"/>
          <w:w w:val="99"/>
        </w:rPr>
        <w:drawing>
          <wp:inline distT="0" distB="0" distL="0" distR="0">
            <wp:extent cx="85090" cy="154940"/>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；项目支出</w:t>
      </w:r>
      <w:r>
        <w:rPr>
          <w:spacing w:val="-82"/>
        </w:rPr>
        <w:t xml:space="preserve"> </w:t>
      </w:r>
      <w:r>
        <w:t>46.27</w:t>
      </w:r>
      <w:r>
        <w:rPr>
          <w:spacing w:val="-82"/>
        </w:rPr>
        <w:t xml:space="preserve"> </w:t>
      </w:r>
      <w:r>
        <w:t>万元，占</w:t>
      </w:r>
      <w:r>
        <w:rPr>
          <w:spacing w:val="-81"/>
        </w:rPr>
        <w:t xml:space="preserve"> </w:t>
      </w:r>
      <w:r>
        <w:rPr>
          <w:spacing w:val="4"/>
        </w:rPr>
        <w:t>15</w:t>
      </w:r>
      <w:r>
        <w:rPr>
          <w:spacing w:val="8"/>
          <w:w w:val="99"/>
        </w:rPr>
        <w:drawing>
          <wp:inline distT="0" distB="0" distL="0" distR="0">
            <wp:extent cx="85090" cy="154940"/>
            <wp:effectExtent l="0" t="0" r="0" b="0"/>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w:t>
      </w:r>
    </w:p>
    <w:p>
      <w:pPr>
        <w:pStyle w:val="4"/>
        <w:spacing w:before="39"/>
        <w:rPr>
          <w:rFonts w:hint="eastAsia" w:ascii="黑体" w:eastAsia="黑体"/>
        </w:rPr>
      </w:pPr>
      <w:r>
        <w:rPr>
          <w:rFonts w:hint="eastAsia" w:ascii="黑体" w:eastAsia="黑体"/>
        </w:rPr>
        <w:t>四、财政拨款收入支出决算总体情况说明</w:t>
      </w:r>
    </w:p>
    <w:p>
      <w:pPr>
        <w:pStyle w:val="4"/>
        <w:keepNext w:val="0"/>
        <w:keepLines w:val="0"/>
        <w:pageBreakBefore w:val="0"/>
        <w:widowControl w:val="0"/>
        <w:kinsoku/>
        <w:wordWrap/>
        <w:overflowPunct/>
        <w:topLinePunct w:val="0"/>
        <w:autoSpaceDE w:val="0"/>
        <w:autoSpaceDN w:val="0"/>
        <w:bidi w:val="0"/>
        <w:adjustRightInd/>
        <w:snapToGrid/>
        <w:spacing w:before="180" w:line="346" w:lineRule="auto"/>
        <w:ind w:left="317" w:right="437" w:firstLine="640" w:firstLineChars="200"/>
        <w:jc w:val="both"/>
        <w:textAlignment w:val="auto"/>
      </w:pPr>
      <w:r>
        <w:t>2018</w:t>
      </w:r>
      <w:r>
        <w:rPr>
          <w:spacing w:val="-17"/>
        </w:rPr>
        <w:t xml:space="preserve"> 年度财政拨款收、支总计均为 </w:t>
      </w:r>
      <w:r>
        <w:t>391.7</w:t>
      </w:r>
      <w:r>
        <w:rPr>
          <w:spacing w:val="-21"/>
        </w:rPr>
        <w:t xml:space="preserve"> 万元。与上年度相比，财政拨款收、支总计各增加</w:t>
      </w:r>
      <w:r>
        <w:rPr>
          <w:spacing w:val="-83"/>
        </w:rPr>
        <w:t xml:space="preserve"> </w:t>
      </w:r>
      <w:r>
        <w:t>31.99</w:t>
      </w:r>
      <w:r>
        <w:rPr>
          <w:spacing w:val="-86"/>
        </w:rPr>
        <w:t xml:space="preserve"> </w:t>
      </w:r>
      <w:r>
        <w:t>万元，增长</w:t>
      </w:r>
      <w:r>
        <w:rPr>
          <w:spacing w:val="-82"/>
        </w:rPr>
        <w:t xml:space="preserve"> </w:t>
      </w:r>
      <w:r>
        <w:rPr>
          <w:spacing w:val="11"/>
        </w:rPr>
        <w:t>9</w:t>
      </w:r>
      <w:r>
        <w:rPr>
          <w:spacing w:val="11"/>
          <w:w w:val="99"/>
        </w:rPr>
        <w:drawing>
          <wp:inline distT="0" distB="0" distL="0" distR="0">
            <wp:extent cx="85090" cy="154940"/>
            <wp:effectExtent l="0" t="0" r="0" b="0"/>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w:t>
      </w:r>
      <w:r>
        <w:rPr>
          <w:spacing w:val="-15"/>
          <w:w w:val="95"/>
        </w:rPr>
        <w:t>主要原因是：工资结构改变、人员工资上涨、办公业务增加。</w:t>
      </w:r>
    </w:p>
    <w:p>
      <w:pPr>
        <w:pStyle w:val="4"/>
        <w:spacing w:line="408" w:lineRule="exact"/>
        <w:rPr>
          <w:rFonts w:hint="eastAsia" w:ascii="黑体" w:eastAsia="黑体"/>
        </w:rPr>
      </w:pPr>
      <w:r>
        <w:rPr>
          <w:rFonts w:hint="eastAsia" w:ascii="黑体" w:eastAsia="黑体"/>
        </w:rPr>
        <w:t>五、一般公共预算财政拨款支出决算情况说明</w:t>
      </w:r>
    </w:p>
    <w:p>
      <w:pPr>
        <w:pStyle w:val="3"/>
        <w:spacing w:before="181"/>
        <w:ind w:left="0" w:leftChars="0" w:firstLine="0" w:firstLineChars="0"/>
      </w:pPr>
      <w:r>
        <w:t>（一）总体情况。</w:t>
      </w:r>
    </w:p>
    <w:p>
      <w:pPr>
        <w:pStyle w:val="4"/>
        <w:spacing w:before="204" w:line="360" w:lineRule="auto"/>
        <w:ind w:right="438" w:firstLine="640" w:firstLineChars="200"/>
      </w:pPr>
      <w:r>
        <w:t>2018</w:t>
      </w:r>
      <w:r>
        <w:rPr>
          <w:spacing w:val="-8"/>
        </w:rPr>
        <w:t xml:space="preserve"> 年度一般公共预算财政拨款支出</w:t>
      </w:r>
      <w:r>
        <w:t>316.23</w:t>
      </w:r>
      <w:r>
        <w:rPr>
          <w:spacing w:val="-30"/>
        </w:rPr>
        <w:t xml:space="preserve"> 万元， </w:t>
      </w:r>
      <w:r>
        <w:rPr>
          <w:spacing w:val="-30"/>
          <w:position w:val="1"/>
        </w:rPr>
        <w:t>占本年支出合计的</w:t>
      </w:r>
      <w:r>
        <w:rPr>
          <w:spacing w:val="-84"/>
          <w:position w:val="1"/>
        </w:rPr>
        <w:t xml:space="preserve"> </w:t>
      </w:r>
      <w:r>
        <w:rPr>
          <w:spacing w:val="3"/>
          <w:position w:val="1"/>
        </w:rPr>
        <w:t>100</w:t>
      </w:r>
      <w:r>
        <w:rPr>
          <w:spacing w:val="8"/>
          <w:w w:val="99"/>
        </w:rPr>
        <w:drawing>
          <wp:inline distT="0" distB="0" distL="0" distR="0">
            <wp:extent cx="85090" cy="154940"/>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51"/>
          <w:position w:val="1"/>
        </w:rPr>
        <w:t>。</w:t>
      </w:r>
      <w:r>
        <w:rPr>
          <w:position w:val="1"/>
        </w:rPr>
        <w:t>与上年度相比</w:t>
      </w:r>
      <w:r>
        <w:rPr>
          <w:spacing w:val="-48"/>
          <w:position w:val="1"/>
        </w:rPr>
        <w:t>，</w:t>
      </w:r>
      <w:r>
        <w:rPr>
          <w:position w:val="1"/>
        </w:rPr>
        <w:t>一般公共预算财政拨款支出增加</w:t>
      </w:r>
      <w:r>
        <w:rPr>
          <w:spacing w:val="-83"/>
          <w:position w:val="1"/>
        </w:rPr>
        <w:t xml:space="preserve"> </w:t>
      </w:r>
      <w:r>
        <w:rPr>
          <w:position w:val="1"/>
        </w:rPr>
        <w:t>59.87</w:t>
      </w:r>
      <w:r>
        <w:rPr>
          <w:spacing w:val="-83"/>
          <w:position w:val="1"/>
        </w:rPr>
        <w:t xml:space="preserve"> </w:t>
      </w:r>
      <w:r>
        <w:rPr>
          <w:position w:val="1"/>
        </w:rPr>
        <w:t>万元</w:t>
      </w:r>
      <w:r>
        <w:rPr>
          <w:spacing w:val="-46"/>
          <w:position w:val="1"/>
        </w:rPr>
        <w:t>，</w:t>
      </w:r>
      <w:r>
        <w:rPr>
          <w:position w:val="1"/>
        </w:rPr>
        <w:t>增长</w:t>
      </w:r>
      <w:r>
        <w:rPr>
          <w:spacing w:val="-83"/>
          <w:position w:val="1"/>
        </w:rPr>
        <w:t xml:space="preserve"> </w:t>
      </w:r>
      <w:r>
        <w:rPr>
          <w:spacing w:val="4"/>
          <w:position w:val="1"/>
        </w:rPr>
        <w:t>18</w:t>
      </w:r>
      <w:r>
        <w:rPr>
          <w:spacing w:val="8"/>
          <w:w w:val="99"/>
        </w:rPr>
        <w:drawing>
          <wp:inline distT="0" distB="0" distL="0" distR="0">
            <wp:extent cx="85090" cy="154940"/>
            <wp:effectExtent l="0" t="0" r="0" b="0"/>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51"/>
          <w:position w:val="1"/>
        </w:rPr>
        <w:t>。</w:t>
      </w:r>
      <w:r>
        <w:rPr>
          <w:position w:val="1"/>
        </w:rPr>
        <w:t>主要原因</w:t>
      </w:r>
      <w:r>
        <w:rPr>
          <w:spacing w:val="5"/>
          <w:position w:val="1"/>
        </w:rPr>
        <w:t>是</w:t>
      </w:r>
      <w:r>
        <w:rPr>
          <w:position w:val="1"/>
        </w:rPr>
        <w:t>：</w:t>
      </w:r>
      <w:r>
        <w:t>社区矫正服刑人员增加、法律援助办案经费增加。</w:t>
      </w:r>
    </w:p>
    <w:p>
      <w:pPr>
        <w:pStyle w:val="3"/>
        <w:spacing w:line="377" w:lineRule="exact"/>
        <w:ind w:left="0" w:leftChars="0" w:firstLine="0" w:firstLineChars="0"/>
      </w:pPr>
      <w:r>
        <w:t>（二）结构情况。</w:t>
      </w:r>
    </w:p>
    <w:p>
      <w:pPr>
        <w:pStyle w:val="4"/>
        <w:spacing w:before="135"/>
        <w:ind w:left="425" w:firstLine="640" w:firstLineChars="200"/>
        <w:jc w:val="both"/>
      </w:pPr>
      <w:r>
        <w:t>2018 年度一般公共预算财政拨款支出 316.23 万元，主要用</w:t>
      </w:r>
      <w:r>
        <w:rPr>
          <w:position w:val="1"/>
        </w:rPr>
        <w:t>于以下方面</w:t>
      </w:r>
      <w:r>
        <w:rPr>
          <w:spacing w:val="-89"/>
          <w:position w:val="1"/>
        </w:rPr>
        <w:t>：</w:t>
      </w:r>
      <w:r>
        <w:rPr>
          <w:position w:val="1"/>
        </w:rPr>
        <w:t>公共安全支</w:t>
      </w:r>
      <w:r>
        <w:rPr>
          <w:spacing w:val="-89"/>
          <w:position w:val="1"/>
        </w:rPr>
        <w:t>出</w:t>
      </w:r>
      <w:r>
        <w:rPr>
          <w:position w:val="1"/>
        </w:rPr>
        <w:t>（类</w:t>
      </w:r>
      <w:r>
        <w:rPr>
          <w:spacing w:val="-89"/>
          <w:position w:val="1"/>
        </w:rPr>
        <w:t>）</w:t>
      </w:r>
      <w:r>
        <w:rPr>
          <w:position w:val="1"/>
        </w:rPr>
        <w:t>支出</w:t>
      </w:r>
      <w:r>
        <w:rPr>
          <w:spacing w:val="-85"/>
          <w:position w:val="1"/>
        </w:rPr>
        <w:t xml:space="preserve"> </w:t>
      </w:r>
      <w:r>
        <w:rPr>
          <w:position w:val="1"/>
        </w:rPr>
        <w:t>252.13</w:t>
      </w:r>
      <w:r>
        <w:rPr>
          <w:spacing w:val="-85"/>
          <w:position w:val="1"/>
        </w:rPr>
        <w:t xml:space="preserve"> </w:t>
      </w:r>
      <w:r>
        <w:rPr>
          <w:position w:val="1"/>
        </w:rPr>
        <w:t>万元</w:t>
      </w:r>
      <w:r>
        <w:rPr>
          <w:spacing w:val="-91"/>
          <w:position w:val="1"/>
        </w:rPr>
        <w:t>，</w:t>
      </w:r>
      <w:r>
        <w:rPr>
          <w:position w:val="1"/>
        </w:rPr>
        <w:t>占</w:t>
      </w:r>
      <w:r>
        <w:rPr>
          <w:spacing w:val="-84"/>
          <w:position w:val="1"/>
        </w:rPr>
        <w:t xml:space="preserve"> </w:t>
      </w:r>
      <w:r>
        <w:rPr>
          <w:spacing w:val="6"/>
          <w:position w:val="1"/>
        </w:rPr>
        <w:t>80</w:t>
      </w:r>
      <w:r>
        <w:rPr>
          <w:spacing w:val="11"/>
          <w:w w:val="99"/>
        </w:rPr>
        <w:drawing>
          <wp:inline distT="0" distB="0" distL="0" distR="0">
            <wp:extent cx="85090" cy="154940"/>
            <wp:effectExtent l="0" t="0" r="0" b="0"/>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position w:val="1"/>
        </w:rPr>
        <w:t>；</w:t>
      </w:r>
    </w:p>
    <w:p>
      <w:pPr>
        <w:spacing w:after="0"/>
        <w:jc w:val="both"/>
        <w:sectPr>
          <w:pgSz w:w="11910" w:h="16840"/>
          <w:pgMar w:top="1540" w:right="1200" w:bottom="900" w:left="1480" w:header="0" w:footer="704" w:gutter="0"/>
          <w:cols w:space="720" w:num="1"/>
        </w:sectPr>
      </w:pPr>
    </w:p>
    <w:p>
      <w:pPr>
        <w:pStyle w:val="4"/>
        <w:spacing w:before="35" w:line="362" w:lineRule="auto"/>
        <w:ind w:left="425" w:right="596"/>
        <w:jc w:val="both"/>
      </w:pPr>
      <w:r>
        <w:t>社会保障和就业支</w:t>
      </w:r>
      <w:r>
        <w:rPr>
          <w:spacing w:val="-10"/>
        </w:rPr>
        <w:t>出</w:t>
      </w:r>
      <w:r>
        <w:t>（类</w:t>
      </w:r>
      <w:r>
        <w:rPr>
          <w:spacing w:val="-7"/>
        </w:rPr>
        <w:t>）</w:t>
      </w:r>
      <w:r>
        <w:t>支出</w:t>
      </w:r>
      <w:r>
        <w:rPr>
          <w:spacing w:val="-84"/>
        </w:rPr>
        <w:t xml:space="preserve"> </w:t>
      </w:r>
      <w:r>
        <w:t>44.49</w:t>
      </w:r>
      <w:r>
        <w:rPr>
          <w:spacing w:val="-86"/>
        </w:rPr>
        <w:t xml:space="preserve"> </w:t>
      </w:r>
      <w:r>
        <w:t>万元</w:t>
      </w:r>
      <w:r>
        <w:rPr>
          <w:spacing w:val="-10"/>
        </w:rPr>
        <w:t>，</w:t>
      </w:r>
      <w:r>
        <w:t>占</w:t>
      </w:r>
      <w:r>
        <w:rPr>
          <w:spacing w:val="-83"/>
        </w:rPr>
        <w:t xml:space="preserve"> </w:t>
      </w:r>
      <w:r>
        <w:rPr>
          <w:spacing w:val="6"/>
        </w:rPr>
        <w:t>14</w:t>
      </w:r>
      <w:r>
        <w:rPr>
          <w:spacing w:val="11"/>
          <w:w w:val="99"/>
        </w:rPr>
        <w:drawing>
          <wp:inline distT="0" distB="0" distL="0" distR="0">
            <wp:extent cx="85090" cy="154940"/>
            <wp:effectExtent l="0" t="0" r="0" b="0"/>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10"/>
        </w:rPr>
        <w:t>；</w:t>
      </w:r>
      <w:r>
        <w:t>医疗卫生与计划生育支出</w:t>
      </w:r>
      <w:r>
        <w:rPr>
          <w:spacing w:val="-84"/>
        </w:rPr>
        <w:t xml:space="preserve"> </w:t>
      </w:r>
      <w:r>
        <w:t>10.09</w:t>
      </w:r>
      <w:r>
        <w:rPr>
          <w:spacing w:val="-83"/>
        </w:rPr>
        <w:t xml:space="preserve"> </w:t>
      </w:r>
      <w:r>
        <w:t>万元</w:t>
      </w:r>
      <w:r>
        <w:rPr>
          <w:spacing w:val="-137"/>
        </w:rPr>
        <w:t>，</w:t>
      </w:r>
      <w:r>
        <w:t>占</w:t>
      </w:r>
      <w:r>
        <w:rPr>
          <w:spacing w:val="-84"/>
        </w:rPr>
        <w:t xml:space="preserve"> </w:t>
      </w:r>
      <w:r>
        <w:rPr>
          <w:spacing w:val="11"/>
        </w:rPr>
        <w:t>3</w:t>
      </w:r>
      <w:r>
        <w:rPr>
          <w:spacing w:val="11"/>
          <w:w w:val="99"/>
        </w:rPr>
        <w:drawing>
          <wp:inline distT="0" distB="0" distL="0" distR="0">
            <wp:extent cx="85090" cy="154940"/>
            <wp:effectExtent l="0" t="0" r="0" b="0"/>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139"/>
        </w:rPr>
        <w:t>；</w:t>
      </w:r>
      <w:r>
        <w:t>住房保障支出</w:t>
      </w:r>
      <w:r>
        <w:rPr>
          <w:spacing w:val="-83"/>
        </w:rPr>
        <w:t xml:space="preserve"> </w:t>
      </w:r>
      <w:r>
        <w:t xml:space="preserve">9.52 </w:t>
      </w:r>
      <w:r>
        <w:rPr>
          <w:position w:val="1"/>
        </w:rPr>
        <w:t>万元，占</w:t>
      </w:r>
      <w:r>
        <w:rPr>
          <w:spacing w:val="-84"/>
          <w:position w:val="1"/>
        </w:rPr>
        <w:t xml:space="preserve"> </w:t>
      </w:r>
      <w:r>
        <w:rPr>
          <w:spacing w:val="11"/>
          <w:position w:val="1"/>
        </w:rPr>
        <w:t>3</w:t>
      </w:r>
      <w:r>
        <w:rPr>
          <w:spacing w:val="11"/>
          <w:w w:val="99"/>
        </w:rPr>
        <w:drawing>
          <wp:inline distT="0" distB="0" distL="0" distR="0">
            <wp:extent cx="85090" cy="154940"/>
            <wp:effectExtent l="0" t="0" r="0" b="0"/>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position w:val="1"/>
        </w:rPr>
        <w:t>。</w:t>
      </w:r>
    </w:p>
    <w:p>
      <w:pPr>
        <w:pStyle w:val="3"/>
        <w:spacing w:before="55"/>
        <w:ind w:left="0" w:leftChars="0" w:firstLine="0" w:firstLineChars="0"/>
      </w:pPr>
      <w:r>
        <w:t>（三）具体情况。</w:t>
      </w:r>
    </w:p>
    <w:p>
      <w:pPr>
        <w:pStyle w:val="4"/>
        <w:spacing w:before="178"/>
        <w:ind w:left="960"/>
        <w:jc w:val="left"/>
      </w:pPr>
      <w:r>
        <w:t>2018 年度一般公共预算财政拨款支出年初预算为</w:t>
      </w:r>
    </w:p>
    <w:p>
      <w:pPr>
        <w:pStyle w:val="8"/>
        <w:numPr>
          <w:ilvl w:val="1"/>
          <w:numId w:val="2"/>
        </w:numPr>
        <w:tabs>
          <w:tab w:val="left" w:pos="1357"/>
        </w:tabs>
        <w:spacing w:before="176" w:after="0" w:line="348" w:lineRule="auto"/>
        <w:ind w:left="320" w:right="438" w:firstLine="0"/>
        <w:jc w:val="left"/>
        <w:rPr>
          <w:sz w:val="32"/>
        </w:rPr>
      </w:pPr>
      <w:r>
        <w:rPr>
          <w:position w:val="1"/>
          <w:sz w:val="32"/>
        </w:rPr>
        <w:t>万元</w:t>
      </w:r>
      <w:r>
        <w:rPr>
          <w:spacing w:val="-159"/>
          <w:position w:val="1"/>
          <w:sz w:val="32"/>
        </w:rPr>
        <w:t>，</w:t>
      </w:r>
      <w:r>
        <w:rPr>
          <w:position w:val="1"/>
          <w:sz w:val="32"/>
        </w:rPr>
        <w:t>支出决算为</w:t>
      </w:r>
      <w:r>
        <w:rPr>
          <w:spacing w:val="-87"/>
          <w:position w:val="1"/>
          <w:sz w:val="32"/>
        </w:rPr>
        <w:t xml:space="preserve"> </w:t>
      </w:r>
      <w:r>
        <w:rPr>
          <w:position w:val="1"/>
          <w:sz w:val="32"/>
        </w:rPr>
        <w:t>316.23</w:t>
      </w:r>
      <w:r>
        <w:rPr>
          <w:spacing w:val="-86"/>
          <w:position w:val="1"/>
          <w:sz w:val="32"/>
        </w:rPr>
        <w:t xml:space="preserve"> </w:t>
      </w:r>
      <w:r>
        <w:rPr>
          <w:position w:val="1"/>
          <w:sz w:val="32"/>
        </w:rPr>
        <w:t>万元</w:t>
      </w:r>
      <w:r>
        <w:rPr>
          <w:spacing w:val="-159"/>
          <w:position w:val="1"/>
          <w:sz w:val="32"/>
        </w:rPr>
        <w:t>，</w:t>
      </w:r>
      <w:r>
        <w:rPr>
          <w:position w:val="1"/>
          <w:sz w:val="32"/>
        </w:rPr>
        <w:t>完成年初预算的</w:t>
      </w:r>
      <w:r>
        <w:rPr>
          <w:spacing w:val="-87"/>
          <w:position w:val="1"/>
          <w:sz w:val="32"/>
        </w:rPr>
        <w:t xml:space="preserve"> </w:t>
      </w:r>
      <w:r>
        <w:rPr>
          <w:spacing w:val="4"/>
          <w:position w:val="1"/>
          <w:sz w:val="32"/>
        </w:rPr>
        <w:t>94</w:t>
      </w:r>
      <w:r>
        <w:rPr>
          <w:spacing w:val="8"/>
          <w:w w:val="99"/>
          <w:sz w:val="32"/>
        </w:rPr>
        <w:drawing>
          <wp:inline distT="0" distB="0" distL="0" distR="0">
            <wp:extent cx="85090" cy="154940"/>
            <wp:effectExtent l="0" t="0" r="0" b="0"/>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position w:val="1"/>
          <w:sz w:val="32"/>
        </w:rPr>
        <w:t>。</w:t>
      </w:r>
      <w:r>
        <w:rPr>
          <w:sz w:val="32"/>
        </w:rPr>
        <w:t>其中：</w:t>
      </w:r>
    </w:p>
    <w:p>
      <w:pPr>
        <w:pStyle w:val="8"/>
        <w:numPr>
          <w:ilvl w:val="2"/>
          <w:numId w:val="2"/>
        </w:numPr>
        <w:tabs>
          <w:tab w:val="left" w:pos="1441"/>
        </w:tabs>
        <w:spacing w:before="0" w:after="0" w:line="345" w:lineRule="auto"/>
        <w:ind w:left="320" w:right="439" w:firstLine="640"/>
        <w:jc w:val="left"/>
        <w:rPr>
          <w:sz w:val="32"/>
        </w:rPr>
      </w:pPr>
      <w:r>
        <w:rPr>
          <w:b/>
          <w:spacing w:val="7"/>
          <w:sz w:val="32"/>
        </w:rPr>
        <w:t>公共安全支出（</w:t>
      </w:r>
      <w:r>
        <w:rPr>
          <w:b/>
          <w:spacing w:val="9"/>
          <w:sz w:val="32"/>
        </w:rPr>
        <w:t>类</w:t>
      </w:r>
      <w:r>
        <w:rPr>
          <w:b/>
          <w:spacing w:val="7"/>
          <w:sz w:val="32"/>
        </w:rPr>
        <w:t>）</w:t>
      </w:r>
      <w:r>
        <w:rPr>
          <w:b/>
          <w:spacing w:val="8"/>
          <w:sz w:val="32"/>
        </w:rPr>
        <w:t>司法</w:t>
      </w:r>
      <w:r>
        <w:rPr>
          <w:b/>
          <w:spacing w:val="7"/>
          <w:sz w:val="32"/>
        </w:rPr>
        <w:t>（款）行政运行（项</w:t>
      </w:r>
      <w:r>
        <w:rPr>
          <w:b/>
          <w:spacing w:val="9"/>
          <w:sz w:val="32"/>
        </w:rPr>
        <w:t>）</w:t>
      </w:r>
      <w:r>
        <w:rPr>
          <w:b/>
          <w:sz w:val="32"/>
        </w:rPr>
        <w:t>。</w:t>
      </w:r>
      <w:r>
        <w:rPr>
          <w:spacing w:val="-14"/>
          <w:sz w:val="32"/>
        </w:rPr>
        <w:t xml:space="preserve">年初预算为 </w:t>
      </w:r>
      <w:r>
        <w:rPr>
          <w:sz w:val="32"/>
        </w:rPr>
        <w:t>117.93</w:t>
      </w:r>
      <w:r>
        <w:rPr>
          <w:spacing w:val="-19"/>
          <w:sz w:val="32"/>
        </w:rPr>
        <w:t xml:space="preserve"> 万元，支出决算为 </w:t>
      </w:r>
      <w:r>
        <w:rPr>
          <w:sz w:val="32"/>
        </w:rPr>
        <w:t>116.95</w:t>
      </w:r>
      <w:r>
        <w:rPr>
          <w:spacing w:val="-14"/>
          <w:sz w:val="32"/>
        </w:rPr>
        <w:t xml:space="preserve"> 万元，完成年初预算的</w:t>
      </w:r>
      <w:r>
        <w:rPr>
          <w:spacing w:val="-81"/>
          <w:sz w:val="32"/>
        </w:rPr>
        <w:t xml:space="preserve"> </w:t>
      </w:r>
      <w:r>
        <w:rPr>
          <w:spacing w:val="4"/>
          <w:sz w:val="32"/>
        </w:rPr>
        <w:t>99</w:t>
      </w:r>
      <w:r>
        <w:rPr>
          <w:spacing w:val="8"/>
          <w:w w:val="99"/>
          <w:sz w:val="32"/>
        </w:rPr>
        <w:drawing>
          <wp:inline distT="0" distB="0" distL="0" distR="0">
            <wp:extent cx="85090" cy="154940"/>
            <wp:effectExtent l="0" t="0" r="0" b="0"/>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94"/>
          <w:sz w:val="32"/>
        </w:rPr>
        <w:t>。</w:t>
      </w:r>
      <w:r>
        <w:rPr>
          <w:sz w:val="32"/>
        </w:rPr>
        <w:t>决算数与年初预算数存在差异的主要原因是： 厉行节约，压缩开支。</w:t>
      </w:r>
    </w:p>
    <w:p>
      <w:pPr>
        <w:pStyle w:val="8"/>
        <w:numPr>
          <w:ilvl w:val="2"/>
          <w:numId w:val="2"/>
        </w:numPr>
        <w:tabs>
          <w:tab w:val="left" w:pos="1441"/>
        </w:tabs>
        <w:spacing w:before="0" w:after="0" w:line="345" w:lineRule="auto"/>
        <w:ind w:left="320" w:right="432" w:firstLine="640"/>
        <w:jc w:val="left"/>
        <w:rPr>
          <w:sz w:val="32"/>
        </w:rPr>
      </w:pPr>
      <w:r>
        <w:rPr>
          <w:b/>
          <w:spacing w:val="-7"/>
          <w:w w:val="95"/>
          <w:sz w:val="32"/>
        </w:rPr>
        <w:t>公共安全支出</w:t>
      </w:r>
      <w:r>
        <w:rPr>
          <w:b/>
          <w:w w:val="95"/>
          <w:sz w:val="32"/>
        </w:rPr>
        <w:t>（</w:t>
      </w:r>
      <w:r>
        <w:rPr>
          <w:b/>
          <w:spacing w:val="5"/>
          <w:w w:val="95"/>
          <w:sz w:val="32"/>
        </w:rPr>
        <w:t>类</w:t>
      </w:r>
      <w:r>
        <w:rPr>
          <w:b/>
          <w:spacing w:val="-39"/>
          <w:w w:val="95"/>
          <w:sz w:val="32"/>
        </w:rPr>
        <w:t>）</w:t>
      </w:r>
      <w:r>
        <w:rPr>
          <w:b/>
          <w:spacing w:val="-20"/>
          <w:w w:val="95"/>
          <w:sz w:val="32"/>
        </w:rPr>
        <w:t>司法</w:t>
      </w:r>
      <w:r>
        <w:rPr>
          <w:b/>
          <w:w w:val="95"/>
          <w:sz w:val="32"/>
        </w:rPr>
        <w:t>（款</w:t>
      </w:r>
      <w:r>
        <w:rPr>
          <w:b/>
          <w:spacing w:val="-39"/>
          <w:w w:val="95"/>
          <w:sz w:val="32"/>
        </w:rPr>
        <w:t>）</w:t>
      </w:r>
      <w:r>
        <w:rPr>
          <w:b/>
          <w:spacing w:val="-7"/>
          <w:w w:val="95"/>
          <w:sz w:val="32"/>
        </w:rPr>
        <w:t>基层司法业务</w:t>
      </w:r>
      <w:r>
        <w:rPr>
          <w:b/>
          <w:w w:val="95"/>
          <w:sz w:val="32"/>
        </w:rPr>
        <w:t>（项</w:t>
      </w:r>
      <w:r>
        <w:rPr>
          <w:b/>
          <w:spacing w:val="-159"/>
          <w:w w:val="95"/>
          <w:sz w:val="32"/>
        </w:rPr>
        <w:t>）</w:t>
      </w:r>
      <w:r>
        <w:rPr>
          <w:b/>
          <w:w w:val="95"/>
          <w:sz w:val="32"/>
        </w:rPr>
        <w:t xml:space="preserve">。 </w:t>
      </w:r>
      <w:r>
        <w:rPr>
          <w:spacing w:val="-14"/>
          <w:sz w:val="32"/>
        </w:rPr>
        <w:t xml:space="preserve">年初预算为 </w:t>
      </w:r>
      <w:r>
        <w:rPr>
          <w:sz w:val="32"/>
        </w:rPr>
        <w:t>50.65</w:t>
      </w:r>
      <w:r>
        <w:rPr>
          <w:spacing w:val="-19"/>
          <w:sz w:val="32"/>
        </w:rPr>
        <w:t xml:space="preserve"> 万元，支出决算为 </w:t>
      </w:r>
      <w:r>
        <w:rPr>
          <w:sz w:val="32"/>
        </w:rPr>
        <w:t>46.27</w:t>
      </w:r>
      <w:r>
        <w:rPr>
          <w:spacing w:val="-13"/>
          <w:sz w:val="32"/>
        </w:rPr>
        <w:t xml:space="preserve"> 万元，完成年初预</w:t>
      </w:r>
      <w:r>
        <w:rPr>
          <w:spacing w:val="5"/>
          <w:sz w:val="32"/>
        </w:rPr>
        <w:t>算</w:t>
      </w:r>
      <w:r>
        <w:rPr>
          <w:sz w:val="32"/>
        </w:rPr>
        <w:t>的</w:t>
      </w:r>
      <w:r>
        <w:rPr>
          <w:spacing w:val="-77"/>
          <w:sz w:val="32"/>
        </w:rPr>
        <w:t xml:space="preserve"> </w:t>
      </w:r>
      <w:r>
        <w:rPr>
          <w:spacing w:val="4"/>
          <w:sz w:val="32"/>
        </w:rPr>
        <w:t>92</w:t>
      </w:r>
      <w:r>
        <w:rPr>
          <w:spacing w:val="8"/>
          <w:w w:val="99"/>
          <w:sz w:val="32"/>
        </w:rPr>
        <w:drawing>
          <wp:inline distT="0" distB="0" distL="0" distR="0">
            <wp:extent cx="85090" cy="154940"/>
            <wp:effectExtent l="0" t="0" r="0" b="0"/>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z w:val="32"/>
        </w:rPr>
        <w:t>。</w:t>
      </w:r>
      <w:r>
        <w:rPr>
          <w:spacing w:val="5"/>
          <w:sz w:val="32"/>
        </w:rPr>
        <w:t>决</w:t>
      </w:r>
      <w:r>
        <w:rPr>
          <w:sz w:val="32"/>
        </w:rPr>
        <w:t>算</w:t>
      </w:r>
      <w:r>
        <w:rPr>
          <w:spacing w:val="5"/>
          <w:sz w:val="32"/>
        </w:rPr>
        <w:t>数</w:t>
      </w:r>
      <w:r>
        <w:rPr>
          <w:sz w:val="32"/>
        </w:rPr>
        <w:t>与</w:t>
      </w:r>
      <w:r>
        <w:rPr>
          <w:spacing w:val="5"/>
          <w:sz w:val="32"/>
        </w:rPr>
        <w:t>年</w:t>
      </w:r>
      <w:r>
        <w:rPr>
          <w:sz w:val="32"/>
        </w:rPr>
        <w:t>初</w:t>
      </w:r>
      <w:r>
        <w:rPr>
          <w:spacing w:val="5"/>
          <w:sz w:val="32"/>
        </w:rPr>
        <w:t>预</w:t>
      </w:r>
      <w:r>
        <w:rPr>
          <w:sz w:val="32"/>
        </w:rPr>
        <w:t>算</w:t>
      </w:r>
      <w:r>
        <w:rPr>
          <w:spacing w:val="5"/>
          <w:sz w:val="32"/>
        </w:rPr>
        <w:t>数</w:t>
      </w:r>
      <w:r>
        <w:rPr>
          <w:sz w:val="32"/>
        </w:rPr>
        <w:t>存</w:t>
      </w:r>
      <w:r>
        <w:rPr>
          <w:spacing w:val="5"/>
          <w:sz w:val="32"/>
        </w:rPr>
        <w:t>在</w:t>
      </w:r>
      <w:r>
        <w:rPr>
          <w:sz w:val="32"/>
        </w:rPr>
        <w:t>差</w:t>
      </w:r>
      <w:r>
        <w:rPr>
          <w:spacing w:val="5"/>
          <w:sz w:val="32"/>
        </w:rPr>
        <w:t>异</w:t>
      </w:r>
      <w:r>
        <w:rPr>
          <w:sz w:val="32"/>
        </w:rPr>
        <w:t>的</w:t>
      </w:r>
      <w:r>
        <w:rPr>
          <w:spacing w:val="5"/>
          <w:sz w:val="32"/>
        </w:rPr>
        <w:t>主</w:t>
      </w:r>
      <w:r>
        <w:rPr>
          <w:sz w:val="32"/>
        </w:rPr>
        <w:t>要</w:t>
      </w:r>
      <w:r>
        <w:rPr>
          <w:spacing w:val="5"/>
          <w:sz w:val="32"/>
        </w:rPr>
        <w:t>原</w:t>
      </w:r>
      <w:r>
        <w:rPr>
          <w:sz w:val="32"/>
        </w:rPr>
        <w:t>因</w:t>
      </w:r>
      <w:r>
        <w:rPr>
          <w:spacing w:val="5"/>
          <w:sz w:val="32"/>
        </w:rPr>
        <w:t>是</w:t>
      </w:r>
      <w:r>
        <w:rPr>
          <w:sz w:val="32"/>
        </w:rPr>
        <w:t>： 厉行节约，压缩开支。</w:t>
      </w:r>
    </w:p>
    <w:p>
      <w:pPr>
        <w:pStyle w:val="8"/>
        <w:numPr>
          <w:ilvl w:val="2"/>
          <w:numId w:val="2"/>
        </w:numPr>
        <w:tabs>
          <w:tab w:val="left" w:pos="1441"/>
        </w:tabs>
        <w:spacing w:before="0" w:after="0" w:line="345" w:lineRule="auto"/>
        <w:ind w:left="320" w:right="432" w:firstLine="640"/>
        <w:jc w:val="left"/>
        <w:rPr>
          <w:spacing w:val="-14"/>
          <w:sz w:val="32"/>
        </w:rPr>
      </w:pPr>
      <w:r>
        <w:rPr>
          <w:b/>
          <w:spacing w:val="-18"/>
          <w:w w:val="95"/>
          <w:sz w:val="32"/>
        </w:rPr>
        <w:t>公共安全支出</w:t>
      </w:r>
      <w:r>
        <w:rPr>
          <w:b/>
          <w:w w:val="95"/>
          <w:sz w:val="32"/>
        </w:rPr>
        <w:t>（类</w:t>
      </w:r>
      <w:r>
        <w:rPr>
          <w:b/>
          <w:spacing w:val="-103"/>
          <w:w w:val="95"/>
          <w:sz w:val="32"/>
        </w:rPr>
        <w:t>）</w:t>
      </w:r>
      <w:r>
        <w:rPr>
          <w:b/>
          <w:spacing w:val="-51"/>
          <w:w w:val="95"/>
          <w:sz w:val="32"/>
        </w:rPr>
        <w:t>司法</w:t>
      </w:r>
      <w:r>
        <w:rPr>
          <w:b/>
          <w:w w:val="95"/>
          <w:sz w:val="32"/>
        </w:rPr>
        <w:t>（款</w:t>
      </w:r>
      <w:r>
        <w:rPr>
          <w:b/>
          <w:spacing w:val="-103"/>
          <w:w w:val="95"/>
          <w:sz w:val="32"/>
        </w:rPr>
        <w:t>）</w:t>
      </w:r>
      <w:r>
        <w:rPr>
          <w:b/>
          <w:spacing w:val="-15"/>
          <w:w w:val="95"/>
          <w:sz w:val="32"/>
        </w:rPr>
        <w:t>律师公证管理费</w:t>
      </w:r>
      <w:r>
        <w:rPr>
          <w:b/>
          <w:w w:val="95"/>
          <w:sz w:val="32"/>
        </w:rPr>
        <w:t>（项</w:t>
      </w:r>
      <w:r>
        <w:rPr>
          <w:b/>
          <w:spacing w:val="-159"/>
          <w:w w:val="95"/>
          <w:sz w:val="32"/>
        </w:rPr>
        <w:t>）</w:t>
      </w:r>
      <w:r>
        <w:rPr>
          <w:b/>
          <w:w w:val="95"/>
          <w:sz w:val="32"/>
        </w:rPr>
        <w:t xml:space="preserve">。 </w:t>
      </w:r>
      <w:r>
        <w:rPr>
          <w:spacing w:val="-14"/>
          <w:sz w:val="32"/>
        </w:rPr>
        <w:t xml:space="preserve">年初预算为 </w:t>
      </w:r>
      <w:r>
        <w:rPr>
          <w:sz w:val="32"/>
        </w:rPr>
        <w:t>13.56</w:t>
      </w:r>
      <w:r>
        <w:rPr>
          <w:spacing w:val="-19"/>
          <w:sz w:val="32"/>
        </w:rPr>
        <w:t xml:space="preserve"> 万元，支出决算为 </w:t>
      </w:r>
      <w:r>
        <w:rPr>
          <w:sz w:val="32"/>
        </w:rPr>
        <w:t>12.49</w:t>
      </w:r>
      <w:r>
        <w:rPr>
          <w:spacing w:val="-13"/>
          <w:sz w:val="32"/>
        </w:rPr>
        <w:t xml:space="preserve"> 万元，完成年初</w:t>
      </w:r>
      <w:r>
        <w:rPr>
          <w:spacing w:val="-13"/>
          <w:position w:val="1"/>
          <w:sz w:val="32"/>
        </w:rPr>
        <w:t>预</w:t>
      </w:r>
      <w:r>
        <w:rPr>
          <w:spacing w:val="5"/>
          <w:position w:val="1"/>
          <w:sz w:val="32"/>
        </w:rPr>
        <w:t>算</w:t>
      </w:r>
      <w:r>
        <w:rPr>
          <w:position w:val="1"/>
          <w:sz w:val="32"/>
        </w:rPr>
        <w:t>的</w:t>
      </w:r>
      <w:r>
        <w:rPr>
          <w:spacing w:val="-77"/>
          <w:position w:val="1"/>
          <w:sz w:val="32"/>
        </w:rPr>
        <w:t xml:space="preserve"> </w:t>
      </w:r>
      <w:r>
        <w:rPr>
          <w:spacing w:val="4"/>
          <w:position w:val="1"/>
          <w:sz w:val="32"/>
        </w:rPr>
        <w:t>93</w:t>
      </w:r>
      <w:r>
        <w:rPr>
          <w:spacing w:val="8"/>
          <w:w w:val="99"/>
          <w:sz w:val="32"/>
        </w:rPr>
        <w:drawing>
          <wp:inline distT="0" distB="0" distL="0" distR="0">
            <wp:extent cx="85090" cy="154940"/>
            <wp:effectExtent l="0" t="0" r="0" b="0"/>
            <wp:docPr id="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position w:val="1"/>
          <w:sz w:val="32"/>
        </w:rPr>
        <w:t>。</w:t>
      </w:r>
      <w:r>
        <w:rPr>
          <w:spacing w:val="5"/>
          <w:position w:val="1"/>
          <w:sz w:val="32"/>
        </w:rPr>
        <w:t>决</w:t>
      </w:r>
      <w:r>
        <w:rPr>
          <w:position w:val="1"/>
          <w:sz w:val="32"/>
        </w:rPr>
        <w:t>算</w:t>
      </w:r>
      <w:r>
        <w:rPr>
          <w:spacing w:val="5"/>
          <w:position w:val="1"/>
          <w:sz w:val="32"/>
        </w:rPr>
        <w:t>数</w:t>
      </w:r>
      <w:r>
        <w:rPr>
          <w:position w:val="1"/>
          <w:sz w:val="32"/>
        </w:rPr>
        <w:t>与</w:t>
      </w:r>
      <w:r>
        <w:rPr>
          <w:spacing w:val="5"/>
          <w:position w:val="1"/>
          <w:sz w:val="32"/>
        </w:rPr>
        <w:t>年</w:t>
      </w:r>
      <w:r>
        <w:rPr>
          <w:position w:val="1"/>
          <w:sz w:val="32"/>
        </w:rPr>
        <w:t>初</w:t>
      </w:r>
      <w:r>
        <w:rPr>
          <w:spacing w:val="5"/>
          <w:position w:val="1"/>
          <w:sz w:val="32"/>
        </w:rPr>
        <w:t>预</w:t>
      </w:r>
      <w:r>
        <w:rPr>
          <w:position w:val="1"/>
          <w:sz w:val="32"/>
        </w:rPr>
        <w:t>算</w:t>
      </w:r>
      <w:r>
        <w:rPr>
          <w:spacing w:val="5"/>
          <w:position w:val="1"/>
          <w:sz w:val="32"/>
        </w:rPr>
        <w:t>数</w:t>
      </w:r>
      <w:r>
        <w:rPr>
          <w:position w:val="1"/>
          <w:sz w:val="32"/>
        </w:rPr>
        <w:t>存</w:t>
      </w:r>
      <w:r>
        <w:rPr>
          <w:spacing w:val="5"/>
          <w:position w:val="1"/>
          <w:sz w:val="32"/>
        </w:rPr>
        <w:t>在</w:t>
      </w:r>
      <w:r>
        <w:rPr>
          <w:position w:val="1"/>
          <w:sz w:val="32"/>
        </w:rPr>
        <w:t>差</w:t>
      </w:r>
      <w:r>
        <w:rPr>
          <w:spacing w:val="5"/>
          <w:position w:val="1"/>
          <w:sz w:val="32"/>
        </w:rPr>
        <w:t>异</w:t>
      </w:r>
      <w:r>
        <w:rPr>
          <w:position w:val="1"/>
          <w:sz w:val="32"/>
        </w:rPr>
        <w:t>的</w:t>
      </w:r>
      <w:r>
        <w:rPr>
          <w:spacing w:val="5"/>
          <w:position w:val="1"/>
          <w:sz w:val="32"/>
        </w:rPr>
        <w:t>主</w:t>
      </w:r>
      <w:r>
        <w:rPr>
          <w:position w:val="1"/>
          <w:sz w:val="32"/>
        </w:rPr>
        <w:t>要</w:t>
      </w:r>
      <w:r>
        <w:rPr>
          <w:spacing w:val="5"/>
          <w:position w:val="1"/>
          <w:sz w:val="32"/>
        </w:rPr>
        <w:t>原</w:t>
      </w:r>
      <w:r>
        <w:rPr>
          <w:position w:val="1"/>
          <w:sz w:val="32"/>
        </w:rPr>
        <w:t>因</w:t>
      </w:r>
      <w:r>
        <w:rPr>
          <w:spacing w:val="5"/>
          <w:position w:val="1"/>
          <w:sz w:val="32"/>
        </w:rPr>
        <w:t>是</w:t>
      </w:r>
      <w:r>
        <w:rPr>
          <w:position w:val="1"/>
          <w:sz w:val="32"/>
        </w:rPr>
        <w:t xml:space="preserve">： </w:t>
      </w:r>
      <w:r>
        <w:rPr>
          <w:spacing w:val="-14"/>
          <w:sz w:val="32"/>
        </w:rPr>
        <w:t>厉行节约，压缩开支。</w:t>
      </w:r>
    </w:p>
    <w:p>
      <w:pPr>
        <w:pStyle w:val="8"/>
        <w:numPr>
          <w:ilvl w:val="2"/>
          <w:numId w:val="2"/>
        </w:numPr>
        <w:tabs>
          <w:tab w:val="left" w:pos="1441"/>
        </w:tabs>
        <w:spacing w:before="0" w:after="0" w:line="345" w:lineRule="auto"/>
        <w:ind w:left="320" w:right="432" w:firstLine="640"/>
        <w:jc w:val="left"/>
        <w:rPr>
          <w:spacing w:val="-14"/>
          <w:sz w:val="32"/>
          <w:lang w:val="zh-CN" w:eastAsia="zh-CN"/>
        </w:rPr>
      </w:pPr>
      <w:r>
        <w:rPr>
          <w:b/>
          <w:spacing w:val="-18"/>
          <w:w w:val="95"/>
          <w:sz w:val="32"/>
        </w:rPr>
        <w:t>公共安全支出（类）司法（款）</w:t>
      </w:r>
      <w:r>
        <w:rPr>
          <w:rFonts w:hint="eastAsia"/>
          <w:b/>
          <w:spacing w:val="-18"/>
          <w:w w:val="95"/>
          <w:sz w:val="32"/>
        </w:rPr>
        <w:t>法律援助</w:t>
      </w:r>
      <w:r>
        <w:rPr>
          <w:b/>
          <w:spacing w:val="-18"/>
          <w:w w:val="95"/>
          <w:sz w:val="32"/>
        </w:rPr>
        <w:t>（项）。</w:t>
      </w:r>
      <w:r>
        <w:rPr>
          <w:spacing w:val="-14"/>
          <w:sz w:val="32"/>
        </w:rPr>
        <w:t>年</w:t>
      </w:r>
      <w:r>
        <w:rPr>
          <w:spacing w:val="-14"/>
          <w:sz w:val="32"/>
          <w:lang w:val="zh-CN" w:eastAsia="zh-CN"/>
        </w:rPr>
        <w:t>初预算为 49.33 万元，支出决算为 49.33 万元，完成年初预算的 100</w:t>
      </w:r>
      <w:r>
        <w:rPr>
          <w:spacing w:val="-14"/>
          <w:sz w:val="32"/>
          <w:lang w:val="zh-CN" w:eastAsia="zh-CN"/>
        </w:rPr>
        <w:drawing>
          <wp:inline distT="0" distB="0" distL="0" distR="0">
            <wp:extent cx="85090" cy="154940"/>
            <wp:effectExtent l="0" t="0" r="0" b="0"/>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14"/>
          <w:sz w:val="32"/>
          <w:lang w:val="zh-CN" w:eastAsia="zh-CN"/>
        </w:rPr>
        <w:t>。决算数与年初预算数存在差异的主要原因是：相符无差异。</w:t>
      </w:r>
    </w:p>
    <w:p>
      <w:pPr>
        <w:pStyle w:val="8"/>
        <w:numPr>
          <w:ilvl w:val="2"/>
          <w:numId w:val="2"/>
        </w:numPr>
        <w:tabs>
          <w:tab w:val="left" w:pos="1441"/>
        </w:tabs>
        <w:spacing w:before="0" w:after="0" w:line="345" w:lineRule="auto"/>
        <w:ind w:left="320" w:right="432" w:firstLine="640"/>
        <w:jc w:val="left"/>
        <w:rPr>
          <w:spacing w:val="-14"/>
          <w:sz w:val="32"/>
          <w:lang w:val="zh-CN" w:eastAsia="zh-CN"/>
        </w:rPr>
        <w:sectPr>
          <w:pgSz w:w="11910" w:h="16840"/>
          <w:pgMar w:top="1500" w:right="1200" w:bottom="900" w:left="1480" w:header="0" w:footer="704" w:gutter="0"/>
          <w:cols w:space="720" w:num="1"/>
        </w:sectPr>
      </w:pPr>
    </w:p>
    <w:p>
      <w:pPr>
        <w:spacing w:before="35" w:line="345" w:lineRule="auto"/>
        <w:ind w:right="432" w:firstLine="608" w:firstLineChars="200"/>
        <w:jc w:val="left"/>
        <w:rPr>
          <w:b/>
          <w:spacing w:val="-6"/>
          <w:w w:val="95"/>
          <w:sz w:val="32"/>
          <w:lang w:val="zh-CN" w:eastAsia="zh-CN"/>
        </w:rPr>
      </w:pPr>
      <w:r>
        <w:rPr>
          <w:b w:val="0"/>
          <w:bCs/>
          <w:w w:val="95"/>
          <w:sz w:val="32"/>
        </w:rPr>
        <w:t>5</w:t>
      </w:r>
      <w:r>
        <w:rPr>
          <w:b w:val="0"/>
          <w:bCs/>
          <w:spacing w:val="-6"/>
          <w:w w:val="95"/>
          <w:sz w:val="32"/>
        </w:rPr>
        <w:t>、</w:t>
      </w:r>
      <w:r>
        <w:rPr>
          <w:rFonts w:hint="eastAsia"/>
          <w:b/>
          <w:spacing w:val="-6"/>
          <w:w w:val="95"/>
          <w:sz w:val="32"/>
          <w:lang w:val="zh-CN" w:eastAsia="zh-CN"/>
        </w:rPr>
        <w:t>公共安全支出（类）司法（款）其他司法支出（项）</w:t>
      </w:r>
      <w:r>
        <w:rPr>
          <w:b/>
          <w:w w:val="95"/>
          <w:sz w:val="32"/>
        </w:rPr>
        <w:t>。</w:t>
      </w:r>
      <w:r>
        <w:rPr>
          <w:rFonts w:ascii="仿宋_GB2312" w:hAnsi="仿宋_GB2312" w:eastAsia="仿宋_GB2312" w:cs="仿宋_GB2312"/>
          <w:sz w:val="32"/>
          <w:szCs w:val="32"/>
          <w:lang w:val="zh-CN" w:eastAsia="zh-CN" w:bidi="zh-CN"/>
        </w:rPr>
        <w:t xml:space="preserve">年初预算为 51 万元，支出决算为 27.09 万元，完成年初预算的53 </w:t>
      </w:r>
      <w:r>
        <w:rPr>
          <w:rFonts w:ascii="仿宋_GB2312" w:hAnsi="仿宋_GB2312" w:eastAsia="仿宋_GB2312" w:cs="仿宋_GB2312"/>
          <w:sz w:val="32"/>
          <w:szCs w:val="32"/>
          <w:lang w:val="zh-CN" w:eastAsia="zh-CN" w:bidi="zh-CN"/>
        </w:rPr>
        <w:drawing>
          <wp:inline distT="0" distB="0" distL="0" distR="0">
            <wp:extent cx="85090" cy="154940"/>
            <wp:effectExtent l="0" t="0" r="0" b="0"/>
            <wp:docPr id="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rFonts w:ascii="仿宋_GB2312" w:hAnsi="仿宋_GB2312" w:eastAsia="仿宋_GB2312" w:cs="仿宋_GB2312"/>
          <w:sz w:val="32"/>
          <w:szCs w:val="32"/>
          <w:lang w:val="zh-CN" w:eastAsia="zh-CN" w:bidi="zh-CN"/>
        </w:rPr>
        <w:t>。决算数与年初预算数存在差异的主要原因是： 厉行节约，压缩</w:t>
      </w:r>
      <w:r>
        <w:rPr>
          <w:rFonts w:ascii="仿宋_GB2312" w:hAnsi="仿宋_GB2312" w:eastAsia="仿宋_GB2312" w:cs="仿宋_GB2312"/>
          <w:sz w:val="32"/>
          <w:szCs w:val="32"/>
          <w:lang w:val="zh-CN" w:eastAsia="zh-CN" w:bidi="zh-CN"/>
        </w:rPr>
        <w:t>开支。</w:t>
      </w:r>
    </w:p>
    <w:p>
      <w:pPr>
        <w:spacing w:before="35" w:line="345" w:lineRule="auto"/>
        <w:ind w:right="432" w:firstLine="584" w:firstLineChars="200"/>
        <w:jc w:val="left"/>
        <w:rPr>
          <w:sz w:val="32"/>
        </w:rPr>
      </w:pPr>
      <w:r>
        <w:rPr>
          <w:b w:val="0"/>
          <w:bCs/>
          <w:spacing w:val="-6"/>
          <w:w w:val="95"/>
          <w:sz w:val="32"/>
        </w:rPr>
        <w:t>6、</w:t>
      </w:r>
      <w:r>
        <w:rPr>
          <w:rFonts w:hint="eastAsia"/>
          <w:b/>
          <w:spacing w:val="-6"/>
          <w:w w:val="95"/>
          <w:sz w:val="32"/>
          <w:lang w:val="zh-CN" w:eastAsia="zh-CN"/>
        </w:rPr>
        <w:t>社会保障和就业支出（类）行政事业单位离退休（款） 机关事业单位集本养老保险缴费支出（项）</w:t>
      </w:r>
      <w:r>
        <w:rPr>
          <w:b/>
          <w:spacing w:val="14"/>
        </w:rPr>
        <w:t>。</w:t>
      </w:r>
      <w:r>
        <w:rPr>
          <w:rFonts w:ascii="仿宋_GB2312" w:hAnsi="仿宋_GB2312" w:eastAsia="仿宋_GB2312" w:cs="仿宋_GB2312"/>
          <w:sz w:val="32"/>
          <w:szCs w:val="32"/>
          <w:lang w:val="zh-CN" w:eastAsia="zh-CN" w:bidi="zh-CN"/>
        </w:rPr>
        <w:t>年初</w:t>
      </w:r>
      <w:r>
        <w:rPr>
          <w:rFonts w:ascii="仿宋_GB2312" w:hAnsi="仿宋_GB2312" w:eastAsia="仿宋_GB2312" w:cs="仿宋_GB2312"/>
          <w:sz w:val="32"/>
          <w:szCs w:val="32"/>
          <w:lang w:val="zh-CN" w:eastAsia="zh-CN" w:bidi="zh-CN"/>
        </w:rPr>
        <w:t>预算为</w:t>
      </w:r>
      <w:r>
        <w:rPr>
          <w:rFonts w:hint="eastAsia" w:cs="仿宋_GB2312"/>
          <w:sz w:val="32"/>
          <w:szCs w:val="32"/>
          <w:lang w:val="en-US" w:eastAsia="zh-CN" w:bidi="zh-CN"/>
        </w:rPr>
        <w:t>15.51</w:t>
      </w:r>
      <w:r>
        <w:rPr>
          <w:rFonts w:ascii="仿宋_GB2312" w:hAnsi="仿宋_GB2312" w:eastAsia="仿宋_GB2312" w:cs="仿宋_GB2312"/>
          <w:sz w:val="32"/>
          <w:szCs w:val="32"/>
          <w:lang w:val="zh-CN" w:eastAsia="zh-CN" w:bidi="zh-CN"/>
        </w:rPr>
        <w:t>万元，支出决算为 15.51 万元，完成年初预算的 100</w:t>
      </w:r>
      <w:r>
        <w:rPr>
          <w:rFonts w:ascii="仿宋_GB2312" w:hAnsi="仿宋_GB2312" w:eastAsia="仿宋_GB2312" w:cs="仿宋_GB2312"/>
          <w:sz w:val="32"/>
          <w:szCs w:val="32"/>
          <w:lang w:val="zh-CN" w:eastAsia="zh-CN" w:bidi="zh-CN"/>
        </w:rPr>
        <w:drawing>
          <wp:inline distT="0" distB="0" distL="0" distR="0">
            <wp:extent cx="85090" cy="154940"/>
            <wp:effectExtent l="0" t="0" r="0" b="0"/>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rFonts w:ascii="仿宋_GB2312" w:hAnsi="仿宋_GB2312" w:eastAsia="仿宋_GB2312" w:cs="仿宋_GB2312"/>
          <w:sz w:val="32"/>
          <w:szCs w:val="32"/>
          <w:lang w:val="zh-CN" w:eastAsia="zh-CN" w:bidi="zh-CN"/>
        </w:rPr>
        <w:t>。决算数与年初预算数存在差异的主要原因是：相符无差异</w:t>
      </w:r>
      <w:r>
        <w:rPr>
          <w:sz w:val="32"/>
        </w:rPr>
        <w:t>。</w:t>
      </w:r>
    </w:p>
    <w:p>
      <w:pPr>
        <w:pStyle w:val="4"/>
        <w:spacing w:line="345" w:lineRule="auto"/>
        <w:ind w:right="438" w:firstLine="640" w:firstLineChars="200"/>
        <w:jc w:val="both"/>
      </w:pPr>
      <w:r>
        <w:rPr>
          <w:rFonts w:hint="eastAsia" w:ascii="宋体" w:eastAsia="宋体"/>
        </w:rPr>
        <w:t>7</w:t>
      </w:r>
      <w:r>
        <w:rPr>
          <w:rFonts w:hint="eastAsia" w:ascii="宋体" w:eastAsia="宋体"/>
          <w:spacing w:val="-24"/>
        </w:rPr>
        <w:t>、</w:t>
      </w:r>
      <w:r>
        <w:rPr>
          <w:rFonts w:hint="eastAsia" w:ascii="仿宋_GB2312" w:hAnsi="仿宋_GB2312" w:eastAsia="仿宋_GB2312" w:cs="仿宋_GB2312"/>
          <w:b/>
          <w:spacing w:val="-6"/>
          <w:w w:val="95"/>
          <w:sz w:val="32"/>
          <w:szCs w:val="22"/>
          <w:lang w:val="zh-CN" w:eastAsia="zh-CN" w:bidi="zh-CN"/>
        </w:rPr>
        <w:t>社会保障和就业支出（类）行政事业单位离退休（款） 其他行政事业单位离退休支出（项）</w:t>
      </w:r>
      <w:r>
        <w:rPr>
          <w:b/>
          <w:spacing w:val="-12"/>
        </w:rPr>
        <w:t>。</w:t>
      </w:r>
      <w:r>
        <w:rPr>
          <w:spacing w:val="-14"/>
        </w:rPr>
        <w:t xml:space="preserve">年初预算为 </w:t>
      </w:r>
      <w:r>
        <w:t>28.98</w:t>
      </w:r>
      <w:r>
        <w:rPr>
          <w:spacing w:val="7"/>
        </w:rPr>
        <w:t>万元，支出决算</w:t>
      </w:r>
      <w:r>
        <w:t>为</w:t>
      </w:r>
      <w:r>
        <w:rPr>
          <w:spacing w:val="-81"/>
        </w:rPr>
        <w:t xml:space="preserve"> </w:t>
      </w:r>
      <w:r>
        <w:t>28.98</w:t>
      </w:r>
      <w:r>
        <w:rPr>
          <w:spacing w:val="-82"/>
        </w:rPr>
        <w:t xml:space="preserve"> </w:t>
      </w:r>
      <w:r>
        <w:rPr>
          <w:spacing w:val="7"/>
        </w:rPr>
        <w:t>万元，完成年初预算</w:t>
      </w:r>
      <w:r>
        <w:t>的</w:t>
      </w:r>
      <w:r>
        <w:rPr>
          <w:spacing w:val="-80"/>
        </w:rPr>
        <w:t xml:space="preserve"> </w:t>
      </w:r>
      <w:r>
        <w:rPr>
          <w:spacing w:val="3"/>
        </w:rPr>
        <w:t>100</w:t>
      </w:r>
      <w:r>
        <w:rPr>
          <w:spacing w:val="8"/>
          <w:w w:val="99"/>
        </w:rPr>
        <w:drawing>
          <wp:inline distT="0" distB="0" distL="0" distR="0">
            <wp:extent cx="85090" cy="154940"/>
            <wp:effectExtent l="0" t="0" r="0" b="0"/>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w:t>
      </w:r>
      <w:r>
        <w:rPr>
          <w:spacing w:val="8"/>
          <w:w w:val="95"/>
        </w:rPr>
        <w:t>决算数与年初预算数存在差异的主要原因是：相符无差</w:t>
      </w:r>
      <w:r>
        <w:rPr>
          <w:spacing w:val="8"/>
        </w:rPr>
        <w:t>异。</w:t>
      </w:r>
    </w:p>
    <w:p>
      <w:pPr>
        <w:pStyle w:val="4"/>
        <w:spacing w:line="345" w:lineRule="auto"/>
        <w:ind w:right="438" w:firstLine="640" w:firstLineChars="200"/>
        <w:jc w:val="both"/>
      </w:pPr>
      <w:r>
        <w:rPr>
          <w:b w:val="0"/>
          <w:bCs/>
        </w:rPr>
        <w:t>8</w:t>
      </w:r>
      <w:r>
        <w:rPr>
          <w:b/>
        </w:rPr>
        <w:t>、</w:t>
      </w:r>
      <w:r>
        <w:rPr>
          <w:rFonts w:hint="eastAsia" w:ascii="仿宋_GB2312" w:hAnsi="仿宋_GB2312" w:eastAsia="仿宋_GB2312" w:cs="仿宋_GB2312"/>
          <w:b/>
          <w:spacing w:val="-6"/>
          <w:w w:val="95"/>
          <w:sz w:val="32"/>
          <w:szCs w:val="22"/>
          <w:lang w:val="zh-CN" w:eastAsia="zh-CN" w:bidi="zh-CN"/>
        </w:rPr>
        <w:t>医疗卫生与计划生育支出（类）行政事业单位医疗（款）行政、事业单位医疗（项）</w:t>
      </w:r>
      <w:r>
        <w:rPr>
          <w:b/>
          <w:spacing w:val="-19"/>
        </w:rPr>
        <w:t>。</w:t>
      </w:r>
      <w:r>
        <w:rPr>
          <w:spacing w:val="-14"/>
        </w:rPr>
        <w:t xml:space="preserve">年初预算为 </w:t>
      </w:r>
      <w:r>
        <w:t>10.09</w:t>
      </w:r>
      <w:r>
        <w:rPr>
          <w:spacing w:val="-42"/>
        </w:rPr>
        <w:t xml:space="preserve"> 万元，支出决算为</w:t>
      </w:r>
      <w:r>
        <w:rPr>
          <w:spacing w:val="-83"/>
        </w:rPr>
        <w:t xml:space="preserve"> </w:t>
      </w:r>
      <w:r>
        <w:t>10.009</w:t>
      </w:r>
      <w:r>
        <w:rPr>
          <w:spacing w:val="-84"/>
        </w:rPr>
        <w:t xml:space="preserve"> </w:t>
      </w:r>
      <w:r>
        <w:t>万元，完成年初预算的</w:t>
      </w:r>
      <w:r>
        <w:rPr>
          <w:spacing w:val="-83"/>
        </w:rPr>
        <w:t xml:space="preserve"> </w:t>
      </w:r>
      <w:r>
        <w:rPr>
          <w:spacing w:val="3"/>
        </w:rPr>
        <w:t>100</w:t>
      </w:r>
      <w:r>
        <w:rPr>
          <w:spacing w:val="11"/>
          <w:w w:val="99"/>
        </w:rPr>
        <w:drawing>
          <wp:inline distT="0" distB="0" distL="0" distR="0">
            <wp:extent cx="85090" cy="154940"/>
            <wp:effectExtent l="0" t="0" r="0" b="0"/>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34"/>
        </w:rPr>
        <w:t>。</w:t>
      </w:r>
      <w:r>
        <w:t>决</w:t>
      </w:r>
      <w:r>
        <w:rPr>
          <w:spacing w:val="-1"/>
          <w:w w:val="95"/>
        </w:rPr>
        <w:t>算数与年初预算数存在差异的主要原因是：相符无差异。</w:t>
      </w:r>
    </w:p>
    <w:p>
      <w:pPr>
        <w:spacing w:before="0" w:line="345" w:lineRule="auto"/>
        <w:ind w:right="432" w:firstLine="608" w:firstLineChars="200"/>
        <w:jc w:val="both"/>
        <w:rPr>
          <w:rFonts w:ascii="仿宋_GB2312" w:hAnsi="仿宋_GB2312" w:eastAsia="仿宋_GB2312" w:cs="仿宋_GB2312"/>
          <w:spacing w:val="3"/>
          <w:sz w:val="32"/>
          <w:szCs w:val="32"/>
          <w:lang w:val="zh-CN" w:eastAsia="zh-CN" w:bidi="zh-CN"/>
        </w:rPr>
      </w:pPr>
      <w:r>
        <w:rPr>
          <w:b w:val="0"/>
          <w:bCs/>
          <w:w w:val="95"/>
          <w:sz w:val="32"/>
        </w:rPr>
        <w:t>9</w:t>
      </w:r>
      <w:r>
        <w:rPr>
          <w:b/>
          <w:spacing w:val="-15"/>
          <w:w w:val="95"/>
          <w:sz w:val="32"/>
        </w:rPr>
        <w:t>、公共安全支</w:t>
      </w:r>
      <w:r>
        <w:rPr>
          <w:b/>
          <w:spacing w:val="-15"/>
          <w:w w:val="95"/>
          <w:sz w:val="32"/>
          <w:lang w:val="zh-CN" w:eastAsia="zh-CN"/>
        </w:rPr>
        <w:t>出（</w:t>
      </w:r>
      <w:r>
        <w:rPr>
          <w:b/>
          <w:spacing w:val="-15"/>
          <w:w w:val="95"/>
          <w:sz w:val="32"/>
          <w:lang w:val="zh-CN" w:eastAsia="zh-CN"/>
        </w:rPr>
        <w:t>类）司法（款）基层司法业务（项）。</w:t>
      </w:r>
      <w:r>
        <w:rPr>
          <w:rFonts w:ascii="仿宋_GB2312" w:hAnsi="仿宋_GB2312" w:eastAsia="仿宋_GB2312" w:cs="仿宋_GB2312"/>
          <w:spacing w:val="3"/>
          <w:sz w:val="32"/>
          <w:szCs w:val="32"/>
          <w:lang w:val="zh-CN" w:eastAsia="zh-CN" w:bidi="zh-CN"/>
        </w:rPr>
        <w:t xml:space="preserve"> 年初预算为 9.52 万元，支出决算为 9.52 万元</w:t>
      </w:r>
      <w:r>
        <w:rPr>
          <w:spacing w:val="-20"/>
          <w:sz w:val="32"/>
        </w:rPr>
        <w:t>，</w:t>
      </w:r>
      <w:r>
        <w:rPr>
          <w:rFonts w:ascii="仿宋_GB2312" w:hAnsi="仿宋_GB2312" w:eastAsia="仿宋_GB2312" w:cs="仿宋_GB2312"/>
          <w:spacing w:val="3"/>
          <w:sz w:val="32"/>
          <w:szCs w:val="32"/>
          <w:lang w:val="zh-CN" w:eastAsia="zh-CN" w:bidi="zh-CN"/>
        </w:rPr>
        <w:t>完成年初预算的 100</w:t>
      </w:r>
      <w:r>
        <w:rPr>
          <w:rFonts w:ascii="仿宋_GB2312" w:hAnsi="仿宋_GB2312" w:eastAsia="仿宋_GB2312" w:cs="仿宋_GB2312"/>
          <w:spacing w:val="3"/>
          <w:sz w:val="32"/>
          <w:szCs w:val="32"/>
          <w:lang w:val="zh-CN" w:eastAsia="zh-CN" w:bidi="zh-CN"/>
        </w:rPr>
        <w:drawing>
          <wp:inline distT="0" distB="0" distL="0" distR="0">
            <wp:extent cx="85090" cy="154940"/>
            <wp:effectExtent l="0" t="0" r="0" b="0"/>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rFonts w:ascii="仿宋_GB2312" w:hAnsi="仿宋_GB2312" w:eastAsia="仿宋_GB2312" w:cs="仿宋_GB2312"/>
          <w:spacing w:val="3"/>
          <w:sz w:val="32"/>
          <w:szCs w:val="32"/>
          <w:lang w:val="zh-CN" w:eastAsia="zh-CN" w:bidi="zh-CN"/>
        </w:rPr>
        <w:t>。决算数与年初预算数存在差异的主要原因是：相符无差异。</w:t>
      </w:r>
    </w:p>
    <w:p>
      <w:pPr>
        <w:pStyle w:val="4"/>
        <w:spacing w:before="4"/>
        <w:ind w:left="639"/>
        <w:rPr>
          <w:rFonts w:hint="eastAsia" w:ascii="黑体" w:eastAsia="黑体"/>
        </w:rPr>
      </w:pPr>
      <w:r>
        <w:rPr>
          <w:rFonts w:hint="eastAsia" w:ascii="黑体" w:eastAsia="黑体"/>
        </w:rPr>
        <w:t>六、一般公共预算财政拨款基本支出决算情况说明</w:t>
      </w:r>
    </w:p>
    <w:p>
      <w:pPr>
        <w:spacing w:after="0"/>
        <w:rPr>
          <w:rFonts w:hint="eastAsia" w:ascii="黑体" w:eastAsia="黑体"/>
        </w:rPr>
        <w:sectPr>
          <w:pgSz w:w="11910" w:h="16840"/>
          <w:pgMar w:top="1540" w:right="1200" w:bottom="900" w:left="1480" w:header="0" w:footer="704" w:gutter="0"/>
          <w:cols w:space="720" w:num="1"/>
        </w:sectPr>
      </w:pPr>
    </w:p>
    <w:p>
      <w:pPr>
        <w:pStyle w:val="4"/>
        <w:spacing w:before="35" w:line="345" w:lineRule="auto"/>
        <w:ind w:left="320" w:right="438" w:firstLine="640"/>
      </w:pPr>
      <w:r>
        <w:t>2018</w:t>
      </w:r>
      <w:r>
        <w:rPr>
          <w:spacing w:val="-9"/>
        </w:rPr>
        <w:t xml:space="preserve"> 年度一般公共预算财政拨款基本支出</w:t>
      </w:r>
      <w:r>
        <w:t>269.96</w:t>
      </w:r>
      <w:r>
        <w:rPr>
          <w:spacing w:val="-30"/>
        </w:rPr>
        <w:t xml:space="preserve"> 万元。与上年度相比</w:t>
      </w:r>
      <w:r>
        <w:rPr>
          <w:spacing w:val="-22"/>
        </w:rPr>
        <w:t>，</w:t>
      </w:r>
      <w:r>
        <w:t>增加</w:t>
      </w:r>
      <w:r>
        <w:rPr>
          <w:spacing w:val="-83"/>
        </w:rPr>
        <w:t xml:space="preserve"> </w:t>
      </w:r>
      <w:r>
        <w:t>61.83</w:t>
      </w:r>
      <w:r>
        <w:rPr>
          <w:spacing w:val="-85"/>
        </w:rPr>
        <w:t xml:space="preserve"> </w:t>
      </w:r>
      <w:r>
        <w:t>万元</w:t>
      </w:r>
      <w:r>
        <w:rPr>
          <w:spacing w:val="-22"/>
        </w:rPr>
        <w:t>，</w:t>
      </w:r>
      <w:r>
        <w:t>增长</w:t>
      </w:r>
      <w:r>
        <w:rPr>
          <w:spacing w:val="-82"/>
        </w:rPr>
        <w:t xml:space="preserve"> </w:t>
      </w:r>
      <w:r>
        <w:rPr>
          <w:spacing w:val="11"/>
        </w:rPr>
        <w:t>7</w:t>
      </w:r>
      <w:r>
        <w:rPr>
          <w:spacing w:val="11"/>
          <w:w w:val="99"/>
        </w:rPr>
        <w:drawing>
          <wp:inline distT="0" distB="0" distL="0" distR="0">
            <wp:extent cx="85090" cy="154940"/>
            <wp:effectExtent l="0" t="0" r="0" b="0"/>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24"/>
        </w:rPr>
        <w:t>，</w:t>
      </w:r>
      <w:r>
        <w:t>主要原因</w:t>
      </w:r>
      <w:r>
        <w:rPr>
          <w:spacing w:val="-22"/>
        </w:rPr>
        <w:t>：</w:t>
      </w:r>
      <w:r>
        <w:t>人员</w:t>
      </w:r>
      <w:r>
        <w:rPr>
          <w:spacing w:val="-8"/>
        </w:rPr>
        <w:t xml:space="preserve">增加和工资调整。其中：人员经费 </w:t>
      </w:r>
      <w:r>
        <w:t>210.05</w:t>
      </w:r>
      <w:r>
        <w:rPr>
          <w:spacing w:val="-13"/>
        </w:rPr>
        <w:t xml:space="preserve"> 万元，主要包括： </w:t>
      </w:r>
      <w:r>
        <w:rPr>
          <w:spacing w:val="-8"/>
        </w:rPr>
        <w:t>基本工资、津贴补贴、奖金、伙食补助费、绩效工资、机关事业单位基本养老保险缴费、职业年金缴费、职工基本医疗</w:t>
      </w:r>
      <w:r>
        <w:rPr>
          <w:spacing w:val="-6"/>
        </w:rPr>
        <w:t>保险缴费、公务员医疗补助缴费、其他社会保障缴费、住房</w:t>
      </w:r>
      <w:r>
        <w:rPr>
          <w:spacing w:val="-7"/>
        </w:rPr>
        <w:t>公积金、医疗费、其他工资福利支出、离休费、退休费、抚</w:t>
      </w:r>
      <w:r>
        <w:rPr>
          <w:spacing w:val="-4"/>
        </w:rPr>
        <w:t>恤金、退职</w:t>
      </w:r>
      <w:r>
        <w:t>（役</w:t>
      </w:r>
      <w:r>
        <w:rPr>
          <w:spacing w:val="-3"/>
        </w:rPr>
        <w:t>）</w:t>
      </w:r>
      <w:r>
        <w:rPr>
          <w:spacing w:val="-2"/>
        </w:rPr>
        <w:t>费、抚恤金、生活补助、救济费、医疗费</w:t>
      </w:r>
      <w:r>
        <w:rPr>
          <w:spacing w:val="-3"/>
        </w:rPr>
        <w:t>补助、助学金、奖励金、其他对个人和家庭的补助支出；公</w:t>
      </w:r>
      <w:r>
        <w:rPr>
          <w:spacing w:val="-24"/>
        </w:rPr>
        <w:t xml:space="preserve">用经费 </w:t>
      </w:r>
      <w:r>
        <w:t>59.91</w:t>
      </w:r>
      <w:r>
        <w:rPr>
          <w:spacing w:val="-10"/>
        </w:rPr>
        <w:t xml:space="preserve"> 万元，主要包括：办公费、印刷费、咨询费、</w:t>
      </w:r>
      <w:r>
        <w:rPr>
          <w:spacing w:val="-6"/>
        </w:rPr>
        <w:t>手续费、水费、电费、邮电费、取暖费、物业管理费、差旅</w:t>
      </w:r>
      <w:r>
        <w:rPr>
          <w:spacing w:val="-9"/>
        </w:rPr>
        <w:t>费、因公出国</w:t>
      </w:r>
      <w:r>
        <w:t>（境</w:t>
      </w:r>
      <w:r>
        <w:rPr>
          <w:spacing w:val="-22"/>
        </w:rPr>
        <w:t>）</w:t>
      </w:r>
      <w:r>
        <w:rPr>
          <w:spacing w:val="-9"/>
        </w:rPr>
        <w:t>费用、维修</w:t>
      </w:r>
      <w:r>
        <w:t>（护</w:t>
      </w:r>
      <w:r>
        <w:rPr>
          <w:spacing w:val="-22"/>
        </w:rPr>
        <w:t>）</w:t>
      </w:r>
      <w:r>
        <w:rPr>
          <w:spacing w:val="-8"/>
        </w:rPr>
        <w:t>费、租赁费、会议费、</w:t>
      </w:r>
      <w:r>
        <w:rPr>
          <w:spacing w:val="-3"/>
        </w:rPr>
        <w:t>培训费、公务接待费、专用材料费、被装购置费、专用燃料费、劳务费、委托业务费、工会经费、福利费、公务用车运</w:t>
      </w:r>
      <w:r>
        <w:rPr>
          <w:spacing w:val="-5"/>
        </w:rPr>
        <w:t>行维护费、其他交通费用、税金及附加费用、其他商品和服</w:t>
      </w:r>
      <w:r>
        <w:rPr>
          <w:spacing w:val="-6"/>
        </w:rPr>
        <w:t>务支出、国内债务付息、办公设备购置、专用设备购置、信</w:t>
      </w:r>
      <w:r>
        <w:rPr>
          <w:spacing w:val="-17"/>
        </w:rPr>
        <w:t>息网络及软件购置更新、公务用车购置、其他交通工具购置、文物和陈列品购置、无形资产购置、其他资本性支出。</w:t>
      </w:r>
    </w:p>
    <w:p>
      <w:pPr>
        <w:pStyle w:val="4"/>
        <w:spacing w:line="403" w:lineRule="exact"/>
        <w:ind w:left="960"/>
        <w:rPr>
          <w:rFonts w:hint="eastAsia" w:ascii="黑体" w:hAnsi="黑体" w:eastAsia="黑体"/>
        </w:rPr>
      </w:pPr>
      <w:r>
        <w:rPr>
          <w:rFonts w:hint="eastAsia" w:ascii="黑体" w:hAnsi="黑体" w:eastAsia="黑体"/>
        </w:rPr>
        <w:t>七、一般公共预算财政拨款“三公”经费支出决算情况</w:t>
      </w:r>
    </w:p>
    <w:p>
      <w:pPr>
        <w:pStyle w:val="4"/>
        <w:spacing w:before="9"/>
        <w:rPr>
          <w:rFonts w:ascii="黑体"/>
          <w:sz w:val="9"/>
        </w:rPr>
      </w:pPr>
    </w:p>
    <w:p>
      <w:pPr>
        <w:pStyle w:val="4"/>
        <w:spacing w:before="54"/>
        <w:ind w:left="320"/>
        <w:rPr>
          <w:rFonts w:hint="eastAsia" w:ascii="黑体" w:eastAsia="黑体"/>
        </w:rPr>
      </w:pPr>
      <w:r>
        <w:rPr>
          <w:rFonts w:hint="eastAsia" w:ascii="黑体" w:eastAsia="黑体"/>
        </w:rPr>
        <w:t>说明</w:t>
      </w:r>
    </w:p>
    <w:p>
      <w:pPr>
        <w:pStyle w:val="3"/>
        <w:spacing w:before="181"/>
      </w:pPr>
      <w:r>
        <w:t>（一）“三公”经费财政拨款支出决算总体情况说明。</w:t>
      </w:r>
    </w:p>
    <w:p>
      <w:pPr>
        <w:pStyle w:val="4"/>
        <w:spacing w:before="134" w:line="367" w:lineRule="auto"/>
        <w:ind w:left="845" w:right="439"/>
      </w:pPr>
      <w:r>
        <w:t>2018</w:t>
      </w:r>
      <w:r>
        <w:rPr>
          <w:spacing w:val="-14"/>
        </w:rPr>
        <w:t xml:space="preserve"> 年度“三公”经费财政拨款支出预算为 </w:t>
      </w:r>
      <w:r>
        <w:t>2</w:t>
      </w:r>
      <w:r>
        <w:rPr>
          <w:spacing w:val="-17"/>
        </w:rPr>
        <w:t xml:space="preserve"> 万元，支出决算为</w:t>
      </w:r>
      <w:r>
        <w:rPr>
          <w:spacing w:val="-84"/>
        </w:rPr>
        <w:t xml:space="preserve"> </w:t>
      </w:r>
      <w:r>
        <w:t>0.94</w:t>
      </w:r>
      <w:r>
        <w:rPr>
          <w:spacing w:val="-83"/>
        </w:rPr>
        <w:t xml:space="preserve"> </w:t>
      </w:r>
      <w:r>
        <w:t>万元</w:t>
      </w:r>
      <w:r>
        <w:rPr>
          <w:spacing w:val="-72"/>
        </w:rPr>
        <w:t>，</w:t>
      </w:r>
      <w:r>
        <w:t>完成预算的</w:t>
      </w:r>
      <w:r>
        <w:rPr>
          <w:spacing w:val="-82"/>
        </w:rPr>
        <w:t xml:space="preserve"> </w:t>
      </w:r>
      <w:r>
        <w:rPr>
          <w:spacing w:val="6"/>
        </w:rPr>
        <w:t>47</w:t>
      </w:r>
      <w:r>
        <w:rPr>
          <w:spacing w:val="11"/>
          <w:w w:val="99"/>
        </w:rPr>
        <w:drawing>
          <wp:inline distT="0" distB="0" distL="0" distR="0">
            <wp:extent cx="85090" cy="154940"/>
            <wp:effectExtent l="0" t="0" r="0" b="0"/>
            <wp:docPr id="8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72"/>
        </w:rPr>
        <w:t>。</w:t>
      </w:r>
      <w:r>
        <w:t>2018</w:t>
      </w:r>
      <w:r>
        <w:rPr>
          <w:spacing w:val="-85"/>
        </w:rPr>
        <w:t xml:space="preserve"> </w:t>
      </w:r>
      <w:r>
        <w:t>年</w:t>
      </w:r>
      <w:r>
        <w:rPr>
          <w:spacing w:val="-70"/>
        </w:rPr>
        <w:t>度</w:t>
      </w:r>
      <w:r>
        <w:rPr>
          <w:spacing w:val="-3"/>
        </w:rPr>
        <w:t>“</w:t>
      </w:r>
      <w:r>
        <w:t>三公”</w:t>
      </w:r>
    </w:p>
    <w:p>
      <w:pPr>
        <w:spacing w:after="0" w:line="367" w:lineRule="auto"/>
        <w:sectPr>
          <w:pgSz w:w="11910" w:h="16840"/>
          <w:pgMar w:top="1540" w:right="1200" w:bottom="900" w:left="1480" w:header="0" w:footer="704" w:gutter="0"/>
          <w:cols w:space="720" w:num="1"/>
        </w:sectPr>
      </w:pPr>
    </w:p>
    <w:p>
      <w:pPr>
        <w:pStyle w:val="4"/>
        <w:spacing w:before="30" w:line="364" w:lineRule="auto"/>
        <w:ind w:left="845" w:right="600"/>
      </w:pPr>
      <w:r>
        <w:rPr>
          <w:spacing w:val="4"/>
          <w:w w:val="95"/>
        </w:rPr>
        <w:t xml:space="preserve">经费支出决算数与预算数存在差异的主要原因是：厉行 </w:t>
      </w:r>
      <w:r>
        <w:t>节约、压缩开支。</w:t>
      </w:r>
    </w:p>
    <w:p>
      <w:pPr>
        <w:pStyle w:val="3"/>
        <w:spacing w:before="47"/>
      </w:pPr>
      <w:r>
        <w:rPr>
          <w:w w:val="95"/>
        </w:rPr>
        <w:t>（二）“三公”经费财政拨款支出决算具体情况说明。</w:t>
      </w:r>
    </w:p>
    <w:p>
      <w:pPr>
        <w:pStyle w:val="4"/>
        <w:spacing w:before="178"/>
        <w:ind w:right="597"/>
        <w:jc w:val="right"/>
      </w:pPr>
      <w:r>
        <w:t>2018</w:t>
      </w:r>
      <w:r>
        <w:rPr>
          <w:spacing w:val="-15"/>
        </w:rPr>
        <w:t xml:space="preserve"> 年度“三公”经费财政拨款支出决算中，因公出国</w:t>
      </w:r>
    </w:p>
    <w:p>
      <w:pPr>
        <w:pStyle w:val="4"/>
        <w:spacing w:before="175"/>
        <w:ind w:right="597"/>
        <w:jc w:val="right"/>
      </w:pPr>
      <w:r>
        <w:rPr>
          <w:spacing w:val="7"/>
          <w:position w:val="1"/>
        </w:rPr>
        <w:t>（境）</w:t>
      </w:r>
      <w:r>
        <w:rPr>
          <w:spacing w:val="5"/>
          <w:position w:val="1"/>
        </w:rPr>
        <w:t>费</w:t>
      </w:r>
      <w:r>
        <w:rPr>
          <w:spacing w:val="7"/>
          <w:position w:val="1"/>
        </w:rPr>
        <w:t>支出决</w:t>
      </w:r>
      <w:r>
        <w:rPr>
          <w:position w:val="1"/>
        </w:rPr>
        <w:t>算</w:t>
      </w:r>
      <w:r>
        <w:rPr>
          <w:spacing w:val="-80"/>
          <w:position w:val="1"/>
        </w:rPr>
        <w:t xml:space="preserve"> </w:t>
      </w:r>
      <w:r>
        <w:rPr>
          <w:position w:val="1"/>
        </w:rPr>
        <w:t>0</w:t>
      </w:r>
      <w:r>
        <w:rPr>
          <w:spacing w:val="-81"/>
          <w:position w:val="1"/>
        </w:rPr>
        <w:t xml:space="preserve"> </w:t>
      </w:r>
      <w:r>
        <w:rPr>
          <w:spacing w:val="7"/>
          <w:position w:val="1"/>
        </w:rPr>
        <w:t>万元，</w:t>
      </w:r>
      <w:r>
        <w:rPr>
          <w:spacing w:val="5"/>
          <w:position w:val="1"/>
        </w:rPr>
        <w:t>完</w:t>
      </w:r>
      <w:r>
        <w:rPr>
          <w:spacing w:val="7"/>
          <w:position w:val="1"/>
        </w:rPr>
        <w:t>成预算</w:t>
      </w:r>
      <w:r>
        <w:rPr>
          <w:position w:val="1"/>
        </w:rPr>
        <w:t>的</w:t>
      </w:r>
      <w:r>
        <w:rPr>
          <w:spacing w:val="-76"/>
          <w:position w:val="1"/>
        </w:rPr>
        <w:t xml:space="preserve"> </w:t>
      </w:r>
      <w:r>
        <w:rPr>
          <w:spacing w:val="11"/>
          <w:position w:val="1"/>
        </w:rPr>
        <w:t>0</w:t>
      </w:r>
      <w:r>
        <w:rPr>
          <w:spacing w:val="11"/>
          <w:w w:val="99"/>
        </w:rPr>
        <w:drawing>
          <wp:inline distT="0" distB="0" distL="0" distR="0">
            <wp:extent cx="85090" cy="154940"/>
            <wp:effectExtent l="0" t="0" r="0" b="0"/>
            <wp:docPr id="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7"/>
          <w:position w:val="1"/>
        </w:rPr>
        <w:t>，</w:t>
      </w:r>
      <w:r>
        <w:rPr>
          <w:position w:val="1"/>
        </w:rPr>
        <w:t>占</w:t>
      </w:r>
      <w:r>
        <w:rPr>
          <w:spacing w:val="-77"/>
          <w:position w:val="1"/>
        </w:rPr>
        <w:t xml:space="preserve"> </w:t>
      </w:r>
      <w:r>
        <w:rPr>
          <w:spacing w:val="11"/>
          <w:position w:val="1"/>
        </w:rPr>
        <w:t>0</w:t>
      </w:r>
      <w:r>
        <w:rPr>
          <w:spacing w:val="11"/>
          <w:w w:val="99"/>
        </w:rPr>
        <w:drawing>
          <wp:inline distT="0" distB="0" distL="0" distR="0">
            <wp:extent cx="85090" cy="154940"/>
            <wp:effectExtent l="0" t="0" r="0" b="0"/>
            <wp:docPr id="9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7"/>
          <w:w w:val="95"/>
          <w:position w:val="1"/>
        </w:rPr>
        <w:t>；公务</w:t>
      </w:r>
      <w:r>
        <w:rPr>
          <w:w w:val="95"/>
          <w:position w:val="1"/>
        </w:rPr>
        <w:t>用</w:t>
      </w:r>
    </w:p>
    <w:p>
      <w:pPr>
        <w:pStyle w:val="4"/>
        <w:spacing w:before="191"/>
        <w:ind w:right="600"/>
        <w:jc w:val="right"/>
      </w:pPr>
      <w:r>
        <w:rPr>
          <w:spacing w:val="12"/>
        </w:rPr>
        <w:t>车</w:t>
      </w:r>
      <w:r>
        <w:rPr>
          <w:spacing w:val="9"/>
        </w:rPr>
        <w:t>购</w:t>
      </w:r>
      <w:r>
        <w:rPr>
          <w:spacing w:val="12"/>
        </w:rPr>
        <w:t>置</w:t>
      </w:r>
      <w:r>
        <w:rPr>
          <w:spacing w:val="9"/>
        </w:rPr>
        <w:t>及</w:t>
      </w:r>
      <w:r>
        <w:rPr>
          <w:spacing w:val="12"/>
        </w:rPr>
        <w:t>运行</w:t>
      </w:r>
      <w:r>
        <w:rPr>
          <w:spacing w:val="9"/>
        </w:rPr>
        <w:t>费</w:t>
      </w:r>
      <w:r>
        <w:rPr>
          <w:spacing w:val="12"/>
        </w:rPr>
        <w:t>支出</w:t>
      </w:r>
      <w:r>
        <w:rPr>
          <w:spacing w:val="9"/>
        </w:rPr>
        <w:t>决</w:t>
      </w:r>
      <w:r>
        <w:t>算</w:t>
      </w:r>
      <w:r>
        <w:rPr>
          <w:spacing w:val="-77"/>
        </w:rPr>
        <w:t xml:space="preserve"> </w:t>
      </w:r>
      <w:r>
        <w:t>0.94</w:t>
      </w:r>
      <w:r>
        <w:rPr>
          <w:spacing w:val="-77"/>
        </w:rPr>
        <w:t xml:space="preserve"> </w:t>
      </w:r>
      <w:r>
        <w:rPr>
          <w:spacing w:val="12"/>
        </w:rPr>
        <w:t>万</w:t>
      </w:r>
      <w:r>
        <w:rPr>
          <w:spacing w:val="9"/>
        </w:rPr>
        <w:t>元</w:t>
      </w:r>
      <w:r>
        <w:rPr>
          <w:spacing w:val="12"/>
        </w:rPr>
        <w:t>，</w:t>
      </w:r>
      <w:r>
        <w:rPr>
          <w:spacing w:val="9"/>
        </w:rPr>
        <w:t>完</w:t>
      </w:r>
      <w:r>
        <w:rPr>
          <w:spacing w:val="12"/>
        </w:rPr>
        <w:t>成预</w:t>
      </w:r>
      <w:r>
        <w:rPr>
          <w:spacing w:val="9"/>
        </w:rPr>
        <w:t>算</w:t>
      </w:r>
      <w:r>
        <w:t>的</w:t>
      </w:r>
      <w:r>
        <w:rPr>
          <w:spacing w:val="-76"/>
        </w:rPr>
        <w:t xml:space="preserve"> </w:t>
      </w:r>
      <w:r>
        <w:rPr>
          <w:spacing w:val="6"/>
        </w:rPr>
        <w:t>47</w:t>
      </w:r>
      <w:r>
        <w:rPr>
          <w:spacing w:val="11"/>
          <w:w w:val="99"/>
        </w:rPr>
        <w:drawing>
          <wp:inline distT="0" distB="0" distL="0" distR="0">
            <wp:extent cx="85090" cy="154940"/>
            <wp:effectExtent l="0" t="0" r="0" b="0"/>
            <wp:docPr id="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9"/>
          <w:w w:val="95"/>
        </w:rPr>
        <w:t>，</w:t>
      </w:r>
      <w:r>
        <w:rPr>
          <w:w w:val="95"/>
        </w:rPr>
        <w:t>占</w:t>
      </w:r>
    </w:p>
    <w:p>
      <w:pPr>
        <w:pStyle w:val="4"/>
        <w:spacing w:before="180" w:line="343" w:lineRule="auto"/>
        <w:ind w:left="320" w:right="585"/>
      </w:pPr>
      <w:r>
        <w:rPr>
          <w:spacing w:val="6"/>
          <w:w w:val="95"/>
        </w:rPr>
        <w:t>47</w:t>
      </w:r>
      <w:r>
        <w:rPr>
          <w:spacing w:val="-137"/>
          <w:w w:val="95"/>
        </w:rPr>
        <w:t xml:space="preserve"> </w:t>
      </w:r>
      <w:r>
        <w:rPr>
          <w:spacing w:val="11"/>
          <w:w w:val="99"/>
        </w:rPr>
        <w:drawing>
          <wp:inline distT="0" distB="0" distL="0" distR="0">
            <wp:extent cx="85090" cy="154940"/>
            <wp:effectExtent l="0" t="0" r="0" b="0"/>
            <wp:docPr id="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；公务接待费支出决算</w:t>
      </w:r>
      <w:r>
        <w:rPr>
          <w:spacing w:val="-82"/>
        </w:rPr>
        <w:t xml:space="preserve"> </w:t>
      </w:r>
      <w:r>
        <w:t>0</w:t>
      </w:r>
      <w:r>
        <w:rPr>
          <w:spacing w:val="-83"/>
        </w:rPr>
        <w:t xml:space="preserve"> </w:t>
      </w:r>
      <w:r>
        <w:t>万元，完成预算的</w:t>
      </w:r>
      <w:r>
        <w:rPr>
          <w:spacing w:val="-82"/>
        </w:rPr>
        <w:t xml:space="preserve"> </w:t>
      </w:r>
      <w:r>
        <w:rPr>
          <w:spacing w:val="11"/>
        </w:rPr>
        <w:t>0</w:t>
      </w:r>
      <w:r>
        <w:rPr>
          <w:spacing w:val="11"/>
          <w:w w:val="99"/>
        </w:rPr>
        <w:drawing>
          <wp:inline distT="0" distB="0" distL="0" distR="0">
            <wp:extent cx="85090" cy="154940"/>
            <wp:effectExtent l="0" t="0" r="0" b="0"/>
            <wp:docPr id="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，占</w:t>
      </w:r>
      <w:r>
        <w:rPr>
          <w:spacing w:val="-82"/>
        </w:rPr>
        <w:t xml:space="preserve"> </w:t>
      </w:r>
      <w:r>
        <w:rPr>
          <w:spacing w:val="11"/>
        </w:rPr>
        <w:t>0</w:t>
      </w:r>
      <w:r>
        <w:rPr>
          <w:spacing w:val="11"/>
          <w:w w:val="99"/>
        </w:rPr>
        <w:drawing>
          <wp:inline distT="0" distB="0" distL="0" distR="0">
            <wp:extent cx="85090" cy="154940"/>
            <wp:effectExtent l="0" t="0" r="0" b="0"/>
            <wp:docPr id="9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。具体情况如下：</w:t>
      </w:r>
    </w:p>
    <w:p>
      <w:pPr>
        <w:pStyle w:val="8"/>
        <w:numPr>
          <w:ilvl w:val="2"/>
          <w:numId w:val="3"/>
        </w:numPr>
        <w:tabs>
          <w:tab w:val="left" w:pos="1441"/>
        </w:tabs>
        <w:spacing w:before="4" w:after="0" w:line="340" w:lineRule="auto"/>
        <w:ind w:left="320" w:right="596" w:firstLine="640"/>
        <w:jc w:val="left"/>
        <w:rPr>
          <w:sz w:val="30"/>
        </w:rPr>
      </w:pPr>
      <w:r>
        <w:rPr>
          <w:b/>
          <w:spacing w:val="-9"/>
          <w:sz w:val="32"/>
        </w:rPr>
        <w:t>因公出国</w:t>
      </w:r>
      <w:r>
        <w:rPr>
          <w:b/>
          <w:sz w:val="32"/>
        </w:rPr>
        <w:t>（境</w:t>
      </w:r>
      <w:r>
        <w:rPr>
          <w:b/>
          <w:spacing w:val="-31"/>
          <w:sz w:val="32"/>
        </w:rPr>
        <w:t>）</w:t>
      </w:r>
      <w:r>
        <w:rPr>
          <w:b/>
          <w:sz w:val="32"/>
        </w:rPr>
        <w:t>费</w:t>
      </w:r>
      <w:r>
        <w:rPr>
          <w:spacing w:val="-15"/>
          <w:sz w:val="32"/>
        </w:rPr>
        <w:t xml:space="preserve">年初预算为 </w:t>
      </w:r>
      <w:r>
        <w:rPr>
          <w:sz w:val="32"/>
        </w:rPr>
        <w:t>0</w:t>
      </w:r>
      <w:r>
        <w:rPr>
          <w:spacing w:val="-22"/>
          <w:sz w:val="32"/>
        </w:rPr>
        <w:t xml:space="preserve"> 万元，支出决算为 </w:t>
      </w:r>
      <w:r>
        <w:rPr>
          <w:sz w:val="32"/>
        </w:rPr>
        <w:t xml:space="preserve">0 </w:t>
      </w:r>
      <w:r>
        <w:rPr>
          <w:position w:val="1"/>
          <w:sz w:val="32"/>
        </w:rPr>
        <w:t>万元</w:t>
      </w:r>
      <w:r>
        <w:rPr>
          <w:spacing w:val="-48"/>
          <w:position w:val="1"/>
          <w:sz w:val="32"/>
        </w:rPr>
        <w:t>，</w:t>
      </w:r>
      <w:r>
        <w:rPr>
          <w:position w:val="1"/>
          <w:sz w:val="32"/>
        </w:rPr>
        <w:t>完成年初预算的</w:t>
      </w:r>
      <w:r>
        <w:rPr>
          <w:spacing w:val="-84"/>
          <w:position w:val="1"/>
          <w:sz w:val="32"/>
        </w:rPr>
        <w:t xml:space="preserve"> </w:t>
      </w:r>
      <w:r>
        <w:rPr>
          <w:spacing w:val="11"/>
          <w:position w:val="1"/>
          <w:sz w:val="32"/>
        </w:rPr>
        <w:t>0</w:t>
      </w:r>
      <w:r>
        <w:rPr>
          <w:spacing w:val="11"/>
          <w:w w:val="99"/>
          <w:sz w:val="32"/>
        </w:rPr>
        <w:drawing>
          <wp:inline distT="0" distB="0" distL="0" distR="0">
            <wp:extent cx="85090" cy="154940"/>
            <wp:effectExtent l="0" t="0" r="0" b="0"/>
            <wp:docPr id="1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46"/>
          <w:position w:val="1"/>
          <w:sz w:val="32"/>
        </w:rPr>
        <w:t>。</w:t>
      </w:r>
      <w:r>
        <w:rPr>
          <w:position w:val="1"/>
          <w:sz w:val="32"/>
        </w:rPr>
        <w:t>决算数与年初预算数存在差异的</w:t>
      </w:r>
    </w:p>
    <w:p>
      <w:pPr>
        <w:pStyle w:val="4"/>
        <w:spacing w:before="13" w:line="345" w:lineRule="auto"/>
        <w:ind w:left="320" w:right="597"/>
      </w:pPr>
      <w:r>
        <w:rPr>
          <w:spacing w:val="-3"/>
        </w:rPr>
        <w:t>主要原因是：无。全年因公出国</w:t>
      </w:r>
      <w:r>
        <w:t>（境</w:t>
      </w:r>
      <w:r>
        <w:rPr>
          <w:spacing w:val="-3"/>
        </w:rPr>
        <w:t>）</w:t>
      </w:r>
      <w:r>
        <w:rPr>
          <w:spacing w:val="-28"/>
        </w:rPr>
        <w:t xml:space="preserve">团组 </w:t>
      </w:r>
      <w:r>
        <w:t>0</w:t>
      </w:r>
      <w:r>
        <w:rPr>
          <w:spacing w:val="-29"/>
        </w:rPr>
        <w:t xml:space="preserve"> 个，累计 </w:t>
      </w:r>
      <w:r>
        <w:t>0</w:t>
      </w:r>
      <w:r>
        <w:rPr>
          <w:spacing w:val="-41"/>
        </w:rPr>
        <w:t xml:space="preserve"> 人次。</w:t>
      </w:r>
    </w:p>
    <w:p>
      <w:pPr>
        <w:pStyle w:val="8"/>
        <w:numPr>
          <w:ilvl w:val="2"/>
          <w:numId w:val="3"/>
        </w:numPr>
        <w:tabs>
          <w:tab w:val="left" w:pos="1453"/>
        </w:tabs>
        <w:spacing w:before="0" w:after="0" w:line="240" w:lineRule="auto"/>
        <w:ind w:left="1452" w:right="0" w:hanging="493"/>
        <w:jc w:val="both"/>
        <w:rPr>
          <w:sz w:val="30"/>
        </w:rPr>
      </w:pPr>
      <w:r>
        <w:rPr>
          <w:b/>
          <w:spacing w:val="7"/>
          <w:sz w:val="32"/>
        </w:rPr>
        <w:t>公务用车购置及运行费</w:t>
      </w:r>
      <w:r>
        <w:rPr>
          <w:spacing w:val="7"/>
          <w:sz w:val="32"/>
          <w:u w:val="dotted"/>
        </w:rPr>
        <w:t>年</w:t>
      </w:r>
      <w:r>
        <w:rPr>
          <w:spacing w:val="-13"/>
          <w:sz w:val="32"/>
        </w:rPr>
        <w:t xml:space="preserve">初预算为 </w:t>
      </w:r>
      <w:r>
        <w:rPr>
          <w:sz w:val="32"/>
        </w:rPr>
        <w:t>2</w:t>
      </w:r>
      <w:r>
        <w:rPr>
          <w:spacing w:val="-7"/>
          <w:sz w:val="32"/>
        </w:rPr>
        <w:t xml:space="preserve"> 万元，支出决</w:t>
      </w:r>
    </w:p>
    <w:p>
      <w:pPr>
        <w:pStyle w:val="4"/>
        <w:spacing w:before="186" w:line="343" w:lineRule="auto"/>
        <w:ind w:left="320" w:right="597"/>
        <w:jc w:val="both"/>
      </w:pPr>
      <w:r>
        <w:t>算为</w:t>
      </w:r>
      <w:r>
        <w:rPr>
          <w:spacing w:val="-82"/>
        </w:rPr>
        <w:t xml:space="preserve"> </w:t>
      </w:r>
      <w:r>
        <w:t>0.94</w:t>
      </w:r>
      <w:r>
        <w:rPr>
          <w:spacing w:val="-83"/>
        </w:rPr>
        <w:t xml:space="preserve"> </w:t>
      </w:r>
      <w:r>
        <w:t>万元</w:t>
      </w:r>
      <w:r>
        <w:rPr>
          <w:spacing w:val="-48"/>
        </w:rPr>
        <w:t>，</w:t>
      </w:r>
      <w:r>
        <w:t>完成年初预算的</w:t>
      </w:r>
      <w:r>
        <w:rPr>
          <w:spacing w:val="-82"/>
        </w:rPr>
        <w:t xml:space="preserve"> </w:t>
      </w:r>
      <w:r>
        <w:rPr>
          <w:spacing w:val="6"/>
        </w:rPr>
        <w:t>47</w:t>
      </w:r>
      <w:r>
        <w:rPr>
          <w:spacing w:val="11"/>
          <w:w w:val="99"/>
        </w:rPr>
        <w:drawing>
          <wp:inline distT="0" distB="0" distL="0" distR="0">
            <wp:extent cx="85090" cy="154940"/>
            <wp:effectExtent l="0" t="0" r="0" b="0"/>
            <wp:docPr id="1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46"/>
        </w:rPr>
        <w:t>。</w:t>
      </w:r>
      <w:r>
        <w:t>决算数与年初预算数存在差异的主要原因是：厉行节约，压减支出。</w:t>
      </w:r>
    </w:p>
    <w:p>
      <w:pPr>
        <w:pStyle w:val="4"/>
        <w:spacing w:before="1" w:line="345" w:lineRule="auto"/>
        <w:ind w:left="320" w:right="595" w:firstLine="640"/>
        <w:jc w:val="both"/>
      </w:pPr>
      <w:r>
        <w:rPr>
          <w:b/>
        </w:rPr>
        <w:t>公务用车购置支出</w:t>
      </w:r>
      <w:r>
        <w:rPr>
          <w:spacing w:val="-41"/>
        </w:rPr>
        <w:t xml:space="preserve">为 </w:t>
      </w:r>
      <w:r>
        <w:t>0</w:t>
      </w:r>
      <w:r>
        <w:rPr>
          <w:spacing w:val="-22"/>
        </w:rPr>
        <w:t xml:space="preserve"> 万元，购置车辆 </w:t>
      </w:r>
      <w:r>
        <w:t>0</w:t>
      </w:r>
      <w:r>
        <w:rPr>
          <w:spacing w:val="-31"/>
        </w:rPr>
        <w:t xml:space="preserve"> 辆，其中 </w:t>
      </w:r>
      <w:r>
        <w:t>0</w:t>
      </w:r>
      <w:r>
        <w:rPr>
          <w:spacing w:val="-41"/>
        </w:rPr>
        <w:t xml:space="preserve"> 车0</w:t>
      </w:r>
      <w:r>
        <w:rPr>
          <w:spacing w:val="-28"/>
        </w:rPr>
        <w:t xml:space="preserve"> 辆、</w:t>
      </w:r>
      <w:r>
        <w:t>0</w:t>
      </w:r>
      <w:r>
        <w:rPr>
          <w:spacing w:val="-54"/>
        </w:rPr>
        <w:t xml:space="preserve"> 车 </w:t>
      </w:r>
      <w:r>
        <w:t>0</w:t>
      </w:r>
      <w:r>
        <w:rPr>
          <w:spacing w:val="-27"/>
        </w:rPr>
        <w:t xml:space="preserve"> 辆。</w:t>
      </w:r>
    </w:p>
    <w:p>
      <w:pPr>
        <w:pStyle w:val="4"/>
        <w:spacing w:line="345" w:lineRule="auto"/>
        <w:ind w:left="320" w:right="597" w:firstLine="640"/>
        <w:jc w:val="both"/>
      </w:pPr>
      <w:r>
        <w:rPr>
          <w:b/>
          <w:spacing w:val="-5"/>
        </w:rPr>
        <w:t xml:space="preserve">公务用车运行支出 </w:t>
      </w:r>
      <w:r>
        <w:t>0.94</w:t>
      </w:r>
      <w:r>
        <w:rPr>
          <w:spacing w:val="-3"/>
        </w:rPr>
        <w:t xml:space="preserve"> 万元。主要用于：主要用于公务用车的燃料费、维修费、保险费等支出。2018</w:t>
      </w:r>
      <w:r>
        <w:rPr>
          <w:spacing w:val="-32"/>
        </w:rPr>
        <w:t xml:space="preserve"> 年期末，部</w:t>
      </w:r>
      <w:r>
        <w:rPr>
          <w:spacing w:val="-35"/>
        </w:rPr>
        <w:t xml:space="preserve">门开支财政拨款的公务用车保有量为 </w:t>
      </w:r>
      <w:r>
        <w:t>1</w:t>
      </w:r>
      <w:r>
        <w:rPr>
          <w:spacing w:val="-27"/>
        </w:rPr>
        <w:t xml:space="preserve"> 辆。</w:t>
      </w:r>
    </w:p>
    <w:p>
      <w:pPr>
        <w:pStyle w:val="4"/>
        <w:ind w:left="960"/>
      </w:pPr>
      <w:r>
        <w:t>公务用车购置及运行费支出决算与上年度相符无差异。</w:t>
      </w:r>
    </w:p>
    <w:p>
      <w:pPr>
        <w:spacing w:after="0"/>
        <w:sectPr>
          <w:pgSz w:w="11910" w:h="16840"/>
          <w:pgMar w:top="1500" w:right="1200" w:bottom="900" w:left="1480" w:header="0" w:footer="704" w:gutter="0"/>
          <w:cols w:space="720" w:num="1"/>
        </w:sectPr>
      </w:pPr>
    </w:p>
    <w:p>
      <w:pPr>
        <w:pStyle w:val="8"/>
        <w:numPr>
          <w:ilvl w:val="2"/>
          <w:numId w:val="3"/>
        </w:numPr>
        <w:tabs>
          <w:tab w:val="left" w:pos="1283"/>
        </w:tabs>
        <w:spacing w:before="35" w:after="0" w:line="345" w:lineRule="auto"/>
        <w:ind w:left="320" w:right="576" w:firstLine="640"/>
        <w:jc w:val="both"/>
        <w:rPr>
          <w:sz w:val="30"/>
        </w:rPr>
      </w:pPr>
      <w:r>
        <w:rPr>
          <w:b/>
          <w:sz w:val="32"/>
        </w:rPr>
        <w:t>公务接待费</w:t>
      </w:r>
      <w:r>
        <w:rPr>
          <w:sz w:val="32"/>
          <w:u w:val="dotted"/>
        </w:rPr>
        <w:t>年</w:t>
      </w:r>
      <w:r>
        <w:rPr>
          <w:spacing w:val="-17"/>
          <w:sz w:val="32"/>
        </w:rPr>
        <w:t xml:space="preserve">初预算为 </w:t>
      </w:r>
      <w:r>
        <w:rPr>
          <w:sz w:val="32"/>
        </w:rPr>
        <w:t>0</w:t>
      </w:r>
      <w:r>
        <w:rPr>
          <w:spacing w:val="-19"/>
          <w:sz w:val="32"/>
        </w:rPr>
        <w:t xml:space="preserve"> 万元，支出决算为 </w:t>
      </w:r>
      <w:r>
        <w:rPr>
          <w:sz w:val="32"/>
        </w:rPr>
        <w:t>0</w:t>
      </w:r>
      <w:r>
        <w:rPr>
          <w:spacing w:val="-21"/>
          <w:sz w:val="32"/>
        </w:rPr>
        <w:t xml:space="preserve"> 万元， 完成年初预算的</w:t>
      </w:r>
      <w:r>
        <w:rPr>
          <w:spacing w:val="-83"/>
          <w:sz w:val="32"/>
        </w:rPr>
        <w:t xml:space="preserve"> </w:t>
      </w:r>
      <w:r>
        <w:rPr>
          <w:spacing w:val="11"/>
          <w:sz w:val="32"/>
        </w:rPr>
        <w:t>0</w:t>
      </w:r>
      <w:r>
        <w:rPr>
          <w:spacing w:val="11"/>
          <w:w w:val="99"/>
          <w:sz w:val="32"/>
        </w:rPr>
        <w:drawing>
          <wp:inline distT="0" distB="0" distL="0" distR="0">
            <wp:extent cx="85090" cy="154940"/>
            <wp:effectExtent l="0" t="0" r="0" b="0"/>
            <wp:docPr id="1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94"/>
          <w:sz w:val="32"/>
        </w:rPr>
        <w:t>。</w:t>
      </w:r>
      <w:r>
        <w:rPr>
          <w:sz w:val="32"/>
        </w:rPr>
        <w:t>决算数与年初预算数</w:t>
      </w:r>
      <w:r>
        <w:rPr>
          <w:rFonts w:hint="eastAsia"/>
          <w:sz w:val="32"/>
          <w:lang w:eastAsia="zh-CN"/>
        </w:rPr>
        <w:t>不</w:t>
      </w:r>
      <w:r>
        <w:rPr>
          <w:sz w:val="32"/>
        </w:rPr>
        <w:t>存在差异。</w:t>
      </w:r>
    </w:p>
    <w:p>
      <w:pPr>
        <w:pStyle w:val="4"/>
        <w:spacing w:line="345" w:lineRule="auto"/>
        <w:ind w:left="320" w:right="434" w:firstLine="640"/>
      </w:pPr>
      <w:r>
        <w:rPr>
          <w:b/>
          <w:spacing w:val="-13"/>
        </w:rPr>
        <w:t xml:space="preserve">外宾接待支出 </w:t>
      </w:r>
      <w:r>
        <w:t>0</w:t>
      </w:r>
      <w:r>
        <w:rPr>
          <w:spacing w:val="-55"/>
        </w:rPr>
        <w:t xml:space="preserve"> 元。主要用于：无。</w:t>
      </w:r>
      <w:r>
        <w:t>2018</w:t>
      </w:r>
      <w:r>
        <w:rPr>
          <w:spacing w:val="-38"/>
        </w:rPr>
        <w:t xml:space="preserve"> 年共接待国</w:t>
      </w:r>
      <w:r>
        <w:t xml:space="preserve">（境） </w:t>
      </w:r>
      <w:r>
        <w:rPr>
          <w:spacing w:val="-14"/>
        </w:rPr>
        <w:t xml:space="preserve">外来访团组 </w:t>
      </w:r>
      <w:r>
        <w:t>0</w:t>
      </w:r>
      <w:r>
        <w:rPr>
          <w:spacing w:val="-22"/>
        </w:rPr>
        <w:t xml:space="preserve"> 个、来访外宾 </w:t>
      </w:r>
      <w:r>
        <w:t>0</w:t>
      </w:r>
      <w:r>
        <w:rPr>
          <w:spacing w:val="-28"/>
        </w:rPr>
        <w:t xml:space="preserve"> 人次</w:t>
      </w:r>
      <w:r>
        <w:rPr>
          <w:spacing w:val="-8"/>
        </w:rPr>
        <w:t>。来访人员主要包括：无。</w:t>
      </w:r>
    </w:p>
    <w:p>
      <w:pPr>
        <w:pStyle w:val="4"/>
        <w:spacing w:line="343" w:lineRule="auto"/>
        <w:ind w:left="320" w:right="426" w:firstLine="640"/>
      </w:pPr>
      <w:r>
        <w:rPr>
          <w:b/>
          <w:spacing w:val="-8"/>
        </w:rPr>
        <w:t xml:space="preserve">其他国内公务接待支出 </w:t>
      </w:r>
      <w:r>
        <w:t>0</w:t>
      </w:r>
      <w:r>
        <w:rPr>
          <w:spacing w:val="-19"/>
        </w:rPr>
        <w:t xml:space="preserve"> 万元。主要用于：无。</w:t>
      </w:r>
      <w:r>
        <w:t>2018</w:t>
      </w:r>
      <w:r>
        <w:rPr>
          <w:spacing w:val="-42"/>
        </w:rPr>
        <w:t xml:space="preserve"> 年</w:t>
      </w:r>
      <w:r>
        <w:rPr>
          <w:spacing w:val="-47"/>
        </w:rPr>
        <w:t xml:space="preserve">共接待国内来访团组 </w:t>
      </w:r>
      <w:r>
        <w:t>0</w:t>
      </w:r>
      <w:r>
        <w:rPr>
          <w:spacing w:val="-38"/>
        </w:rPr>
        <w:t xml:space="preserve"> 个、来宾 </w:t>
      </w:r>
      <w:r>
        <w:t>0</w:t>
      </w:r>
      <w:r>
        <w:rPr>
          <w:spacing w:val="-45"/>
        </w:rPr>
        <w:t xml:space="preserve"> 人次</w:t>
      </w:r>
      <w:r>
        <w:t>。</w:t>
      </w:r>
    </w:p>
    <w:p>
      <w:pPr>
        <w:pStyle w:val="4"/>
        <w:spacing w:before="4" w:line="348" w:lineRule="auto"/>
        <w:ind w:left="320" w:right="597" w:firstLine="640"/>
      </w:pPr>
      <w:r>
        <w:t>公务接待费支出决算比上年度增加0</w:t>
      </w:r>
      <w:r>
        <w:rPr>
          <w:spacing w:val="-17"/>
        </w:rPr>
        <w:t>万元，增</w:t>
      </w:r>
      <w:r>
        <w:rPr>
          <w:w w:val="95"/>
        </w:rPr>
        <w:t>长</w:t>
      </w:r>
      <w:r>
        <w:rPr>
          <w:spacing w:val="6"/>
          <w:w w:val="95"/>
        </w:rPr>
        <w:t>0</w:t>
      </w:r>
      <w:r>
        <w:rPr>
          <w:spacing w:val="-67"/>
          <w:w w:val="95"/>
        </w:rPr>
        <w:t xml:space="preserve"> </w:t>
      </w:r>
      <w:r>
        <w:rPr>
          <w:spacing w:val="11"/>
          <w:w w:val="99"/>
        </w:rPr>
        <w:drawing>
          <wp:inline distT="0" distB="0" distL="0" distR="0">
            <wp:extent cx="85090" cy="154940"/>
            <wp:effectExtent l="0" t="0" r="0" b="0"/>
            <wp:docPr id="10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t>,主要原因是：无。</w:t>
      </w:r>
    </w:p>
    <w:p>
      <w:pPr>
        <w:pStyle w:val="4"/>
        <w:spacing w:line="402" w:lineRule="exact"/>
        <w:ind w:left="960"/>
        <w:rPr>
          <w:rFonts w:hint="eastAsia" w:ascii="黑体" w:eastAsia="黑体"/>
        </w:rPr>
      </w:pPr>
      <w:r>
        <w:rPr>
          <w:rFonts w:hint="eastAsia" w:ascii="黑体" w:eastAsia="黑体"/>
        </w:rPr>
        <w:t>八、预算绩效情况说明</w:t>
      </w:r>
    </w:p>
    <w:p>
      <w:pPr>
        <w:pStyle w:val="3"/>
        <w:spacing w:before="180"/>
        <w:ind w:left="320"/>
      </w:pPr>
      <w:r>
        <w:t>（一）绩效管理工作开展情况。</w:t>
      </w:r>
    </w:p>
    <w:p>
      <w:pPr>
        <w:widowControl/>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我单位201</w:t>
      </w:r>
      <w:r>
        <w:rPr>
          <w:rFonts w:hint="eastAsia" w:cs="仿宋_GB2312"/>
          <w:color w:val="auto"/>
          <w:sz w:val="32"/>
          <w:szCs w:val="32"/>
          <w:lang w:val="en-US" w:eastAsia="zh-CN"/>
        </w:rPr>
        <w:t>8</w:t>
      </w:r>
      <w:r>
        <w:rPr>
          <w:rFonts w:hint="eastAsia" w:ascii="仿宋_GB2312" w:hAnsi="仿宋_GB2312" w:eastAsia="仿宋_GB2312" w:cs="仿宋_GB2312"/>
          <w:color w:val="auto"/>
          <w:sz w:val="32"/>
          <w:szCs w:val="32"/>
        </w:rPr>
        <w:t>年依法治理经费-</w:t>
      </w:r>
      <w:r>
        <w:rPr>
          <w:rFonts w:hint="eastAsia" w:ascii="仿宋_GB2312" w:hAnsi="仿宋_GB2312" w:eastAsia="仿宋_GB2312" w:cs="仿宋_GB2312"/>
          <w:color w:val="auto"/>
          <w:sz w:val="32"/>
          <w:szCs w:val="32"/>
          <w:lang w:eastAsia="zh-CN"/>
        </w:rPr>
        <w:t>其他</w:t>
      </w:r>
      <w:r>
        <w:rPr>
          <w:rFonts w:hint="eastAsia" w:ascii="仿宋_GB2312" w:hAnsi="仿宋_GB2312" w:eastAsia="仿宋_GB2312" w:cs="仿宋_GB2312"/>
          <w:color w:val="auto"/>
          <w:sz w:val="32"/>
          <w:szCs w:val="32"/>
          <w:lang w:val="en-US" w:eastAsia="zh-CN"/>
        </w:rPr>
        <w:t>用于</w:t>
      </w:r>
      <w:r>
        <w:rPr>
          <w:rFonts w:hint="eastAsia" w:ascii="仿宋_GB2312" w:hAnsi="仿宋_GB2312" w:eastAsia="仿宋_GB2312" w:cs="仿宋_GB2312"/>
          <w:sz w:val="32"/>
          <w:szCs w:val="32"/>
          <w:lang w:val="en-US" w:eastAsia="zh-CN"/>
        </w:rPr>
        <w:t>西工区法制宣传等业务办公费，年初预算15.53万元，年底支出</w:t>
      </w:r>
      <w:r>
        <w:rPr>
          <w:rFonts w:hint="eastAsia" w:cs="仿宋_GB2312"/>
          <w:sz w:val="32"/>
          <w:szCs w:val="32"/>
          <w:lang w:val="en-US" w:eastAsia="zh-CN"/>
        </w:rPr>
        <w:t>15.53</w:t>
      </w:r>
      <w:r>
        <w:rPr>
          <w:rFonts w:hint="eastAsia" w:ascii="仿宋_GB2312" w:hAnsi="仿宋_GB2312" w:eastAsia="仿宋_GB2312" w:cs="仿宋_GB2312"/>
          <w:sz w:val="32"/>
          <w:szCs w:val="32"/>
          <w:lang w:val="en-US" w:eastAsia="zh-CN"/>
        </w:rPr>
        <w:t>万元，完成预算</w:t>
      </w:r>
      <w:r>
        <w:rPr>
          <w:rFonts w:hint="eastAsia" w:cs="仿宋_GB2312"/>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新宋体" w:hAnsi="新宋体" w:eastAsia="新宋体" w:cs="新宋体"/>
          <w:color w:val="auto"/>
          <w:kern w:val="0"/>
          <w:sz w:val="30"/>
          <w:szCs w:val="30"/>
          <w:lang w:eastAsia="zh-CN"/>
        </w:rPr>
        <w:t>；</w:t>
      </w:r>
      <w:r>
        <w:rPr>
          <w:rFonts w:hint="eastAsia" w:cs="仿宋_GB2312"/>
          <w:sz w:val="32"/>
          <w:szCs w:val="32"/>
          <w:lang w:eastAsia="zh-CN"/>
        </w:rPr>
        <w:t>人民调解工作</w:t>
      </w:r>
      <w:r>
        <w:rPr>
          <w:rFonts w:hint="eastAsia" w:ascii="仿宋_GB2312" w:hAnsi="仿宋_GB2312" w:eastAsia="仿宋_GB2312" w:cs="仿宋_GB2312"/>
          <w:sz w:val="32"/>
          <w:szCs w:val="32"/>
          <w:lang w:eastAsia="zh-CN"/>
        </w:rPr>
        <w:t>经费用</w:t>
      </w:r>
      <w:r>
        <w:rPr>
          <w:rFonts w:hint="eastAsia" w:ascii="仿宋_GB2312" w:hAnsi="文星标宋" w:eastAsia="仿宋_GB2312" w:cs="Times New Roman"/>
          <w:sz w:val="32"/>
          <w:szCs w:val="32"/>
          <w:lang w:eastAsia="zh-CN"/>
        </w:rPr>
        <w:t>于</w:t>
      </w:r>
      <w:r>
        <w:rPr>
          <w:rFonts w:hint="eastAsia" w:ascii="仿宋_GB2312" w:hAnsi="文星标宋" w:eastAsia="仿宋_GB2312" w:cs="Times New Roman"/>
          <w:sz w:val="32"/>
          <w:szCs w:val="32"/>
          <w:lang w:val="en-US" w:eastAsia="zh-CN"/>
        </w:rPr>
        <w:t>专职人民调解员聘用经费，按规定承担的人民调解案件补贴和专家咨询费等，年初预算</w:t>
      </w:r>
      <w:r>
        <w:rPr>
          <w:rFonts w:hint="eastAsia" w:hAnsi="文星标宋" w:cs="Times New Roman"/>
          <w:sz w:val="32"/>
          <w:szCs w:val="32"/>
          <w:lang w:val="en-US" w:eastAsia="zh-CN"/>
        </w:rPr>
        <w:t>14</w:t>
      </w:r>
      <w:r>
        <w:rPr>
          <w:rFonts w:hint="eastAsia" w:ascii="仿宋_GB2312" w:hAnsi="文星标宋" w:eastAsia="仿宋_GB2312" w:cs="Times New Roman"/>
          <w:sz w:val="32"/>
          <w:szCs w:val="32"/>
          <w:lang w:val="en-US" w:eastAsia="zh-CN"/>
        </w:rPr>
        <w:t>万元，年底支出</w:t>
      </w:r>
      <w:r>
        <w:rPr>
          <w:rFonts w:hint="eastAsia" w:hAnsi="文星标宋" w:cs="Times New Roman"/>
          <w:sz w:val="32"/>
          <w:szCs w:val="32"/>
          <w:lang w:val="en-US" w:eastAsia="zh-CN"/>
        </w:rPr>
        <w:t>12.7</w:t>
      </w:r>
      <w:r>
        <w:rPr>
          <w:rFonts w:hint="eastAsia" w:ascii="仿宋_GB2312" w:hAnsi="文星标宋" w:eastAsia="仿宋_GB2312" w:cs="Times New Roman"/>
          <w:sz w:val="32"/>
          <w:szCs w:val="32"/>
          <w:lang w:val="en-US" w:eastAsia="zh-CN"/>
        </w:rPr>
        <w:t>万元，完成预算的</w:t>
      </w:r>
      <w:r>
        <w:rPr>
          <w:rFonts w:hint="eastAsia" w:hAnsi="文星标宋" w:cs="Times New Roman"/>
          <w:sz w:val="32"/>
          <w:szCs w:val="32"/>
          <w:lang w:val="en-US" w:eastAsia="zh-CN"/>
        </w:rPr>
        <w:t>91</w:t>
      </w:r>
      <w:r>
        <w:rPr>
          <w:rFonts w:hint="eastAsia" w:ascii="仿宋_GB2312" w:hAnsi="文星标宋" w:eastAsia="仿宋_GB2312" w:cs="Times New Roman"/>
          <w:sz w:val="32"/>
          <w:szCs w:val="32"/>
          <w:lang w:val="en-US" w:eastAsia="zh-CN"/>
        </w:rPr>
        <w:t>%；</w:t>
      </w:r>
      <w:r>
        <w:rPr>
          <w:rFonts w:hint="eastAsia" w:ascii="仿宋_GB2312" w:hAnsi="仿宋_GB2312" w:eastAsia="仿宋_GB2312" w:cs="仿宋_GB2312"/>
          <w:sz w:val="32"/>
          <w:szCs w:val="32"/>
          <w:lang w:eastAsia="zh-CN"/>
        </w:rPr>
        <w:t>党建工作经费用</w:t>
      </w:r>
      <w:r>
        <w:rPr>
          <w:rFonts w:hint="eastAsia" w:ascii="仿宋_GB2312" w:hAnsi="文星标宋" w:eastAsia="仿宋_GB2312" w:cs="Times New Roman"/>
          <w:sz w:val="32"/>
          <w:szCs w:val="32"/>
          <w:lang w:eastAsia="zh-CN"/>
        </w:rPr>
        <w:t>于</w:t>
      </w:r>
      <w:r>
        <w:rPr>
          <w:rFonts w:hint="eastAsia" w:ascii="仿宋_GB2312" w:hAnsi="文星标宋" w:eastAsia="仿宋_GB2312" w:cs="Times New Roman"/>
          <w:sz w:val="32"/>
          <w:szCs w:val="32"/>
        </w:rPr>
        <w:t>报党刊、书籍的订阅工作</w:t>
      </w:r>
      <w:r>
        <w:rPr>
          <w:rFonts w:hint="eastAsia" w:ascii="仿宋_GB2312" w:hAnsi="文星标宋" w:eastAsia="仿宋_GB2312" w:cs="Times New Roman"/>
          <w:sz w:val="32"/>
          <w:szCs w:val="32"/>
          <w:lang w:eastAsia="zh-CN"/>
        </w:rPr>
        <w:t>等，</w:t>
      </w:r>
      <w:r>
        <w:rPr>
          <w:rFonts w:hint="eastAsia" w:ascii="仿宋_GB2312" w:hAnsi="文星标宋" w:eastAsia="仿宋_GB2312" w:cs="Times New Roman"/>
          <w:sz w:val="32"/>
          <w:szCs w:val="32"/>
        </w:rPr>
        <w:t>年初预算</w:t>
      </w:r>
      <w:r>
        <w:rPr>
          <w:rFonts w:hint="eastAsia" w:ascii="仿宋_GB2312" w:hAnsi="文星标宋" w:eastAsia="仿宋_GB2312" w:cs="Times New Roman"/>
          <w:sz w:val="32"/>
          <w:szCs w:val="32"/>
          <w:lang w:val="en-US" w:eastAsia="zh-CN"/>
        </w:rPr>
        <w:t>1</w:t>
      </w:r>
      <w:r>
        <w:rPr>
          <w:rFonts w:hint="eastAsia" w:ascii="仿宋_GB2312" w:hAnsi="文星标宋" w:eastAsia="仿宋_GB2312" w:cs="Times New Roman"/>
          <w:sz w:val="32"/>
          <w:szCs w:val="32"/>
        </w:rPr>
        <w:t>万元，年底支出</w:t>
      </w:r>
      <w:r>
        <w:rPr>
          <w:rFonts w:hint="eastAsia" w:hAnsi="文星标宋" w:cs="Times New Roman"/>
          <w:sz w:val="32"/>
          <w:szCs w:val="32"/>
          <w:lang w:val="en-US" w:eastAsia="zh-CN"/>
        </w:rPr>
        <w:t>0.56</w:t>
      </w:r>
      <w:r>
        <w:rPr>
          <w:rFonts w:hint="eastAsia" w:ascii="仿宋_GB2312" w:hAnsi="文星标宋" w:eastAsia="仿宋_GB2312" w:cs="Times New Roman"/>
          <w:sz w:val="32"/>
          <w:szCs w:val="32"/>
        </w:rPr>
        <w:t>万元，完成预算的</w:t>
      </w:r>
      <w:r>
        <w:rPr>
          <w:rFonts w:hint="eastAsia" w:hAnsi="文星标宋" w:cs="Times New Roman"/>
          <w:sz w:val="32"/>
          <w:szCs w:val="32"/>
          <w:lang w:val="en-US" w:eastAsia="zh-CN"/>
        </w:rPr>
        <w:t>56</w:t>
      </w:r>
      <w:r>
        <w:rPr>
          <w:rFonts w:hint="eastAsia" w:ascii="仿宋_GB2312" w:hAnsi="文星标宋" w:eastAsia="仿宋_GB2312" w:cs="Times New Roman"/>
          <w:sz w:val="32"/>
          <w:szCs w:val="32"/>
        </w:rPr>
        <w:t>%</w:t>
      </w:r>
      <w:r>
        <w:rPr>
          <w:rFonts w:hint="eastAsia" w:ascii="仿宋_GB2312" w:hAnsi="文星标宋" w:eastAsia="仿宋_GB2312" w:cs="Times New Roman"/>
          <w:sz w:val="32"/>
          <w:szCs w:val="32"/>
          <w:lang w:val="en-US" w:eastAsia="zh-CN"/>
        </w:rPr>
        <w:t>。绩效年初预算按照加强预算绩效管理和完善公共财政体系</w:t>
      </w:r>
      <w:r>
        <w:rPr>
          <w:rFonts w:hint="eastAsia" w:ascii="仿宋_GB2312" w:hAnsi="仿宋_GB2312" w:eastAsia="仿宋_GB2312" w:cs="仿宋_GB2312"/>
          <w:sz w:val="32"/>
          <w:szCs w:val="32"/>
        </w:rPr>
        <w:t>总体要求，以及洛阳市财政绩效管理工作部暑和考核要求，我单位将项目绩效管理分解</w:t>
      </w:r>
      <w:bookmarkStart w:id="0" w:name="_GoBack"/>
      <w:bookmarkEnd w:id="0"/>
      <w:r>
        <w:rPr>
          <w:rFonts w:hint="eastAsia" w:ascii="仿宋_GB2312" w:hAnsi="仿宋_GB2312" w:eastAsia="仿宋_GB2312" w:cs="仿宋_GB2312"/>
          <w:sz w:val="32"/>
          <w:szCs w:val="32"/>
        </w:rPr>
        <w:t>落实到人，努力提升绩效目标管理工作质量，提高项目预算和效益，并认真开展项目绩效评价，做到项目预算绩效管理会覆盖。</w:t>
      </w:r>
    </w:p>
    <w:p>
      <w:pPr>
        <w:pStyle w:val="3"/>
        <w:ind w:left="320"/>
      </w:pPr>
      <w:r>
        <w:t>（二）项目绩效自评结果。</w:t>
      </w:r>
    </w:p>
    <w:p>
      <w:pPr>
        <w:pStyle w:val="4"/>
        <w:spacing w:before="181" w:line="343" w:lineRule="auto"/>
        <w:ind w:left="320" w:right="555" w:firstLine="640"/>
      </w:pPr>
      <w:r>
        <w:t>相关项目设置部门职责，绩效目标设置合理，严格按照各项管理制度执行。</w:t>
      </w:r>
    </w:p>
    <w:p>
      <w:pPr>
        <w:pStyle w:val="4"/>
        <w:spacing w:before="6"/>
        <w:ind w:left="960"/>
        <w:rPr>
          <w:rFonts w:hint="eastAsia" w:ascii="黑体" w:eastAsia="黑体"/>
        </w:rPr>
      </w:pPr>
      <w:r>
        <w:rPr>
          <w:rFonts w:hint="eastAsia" w:ascii="黑体" w:eastAsia="黑体"/>
        </w:rPr>
        <w:t>九、政府性基金预算财政拨款支出决算情况说明</w:t>
      </w:r>
    </w:p>
    <w:p>
      <w:pPr>
        <w:spacing w:after="0"/>
        <w:rPr>
          <w:rFonts w:hint="eastAsia" w:ascii="黑体" w:eastAsia="黑体"/>
        </w:rPr>
        <w:sectPr>
          <w:pgSz w:w="11910" w:h="16840"/>
          <w:pgMar w:top="1540" w:right="1200" w:bottom="900" w:left="1480" w:header="0" w:footer="704" w:gutter="0"/>
          <w:cols w:space="720" w:num="1"/>
        </w:sectPr>
      </w:pPr>
    </w:p>
    <w:p>
      <w:pPr>
        <w:widowControl/>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我单位</w:t>
      </w:r>
      <w:r>
        <w:rPr>
          <w:rFonts w:hint="eastAsia" w:ascii="仿宋_GB2312" w:hAnsi="仿宋_GB2312" w:eastAsia="仿宋_GB2312" w:cs="仿宋_GB2312"/>
          <w:sz w:val="32"/>
          <w:szCs w:val="32"/>
        </w:rPr>
        <w:t>201</w:t>
      </w:r>
      <w:r>
        <w:rPr>
          <w:rFonts w:hint="eastAsia" w:cs="仿宋_GB2312"/>
          <w:sz w:val="32"/>
          <w:szCs w:val="32"/>
          <w:lang w:val="en-US" w:eastAsia="zh-CN"/>
        </w:rPr>
        <w:t>8</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没有</w:t>
      </w:r>
      <w:r>
        <w:rPr>
          <w:rFonts w:hint="eastAsia" w:ascii="仿宋_GB2312" w:hAnsi="仿宋_GB2312" w:eastAsia="仿宋_GB2312" w:cs="仿宋_GB2312"/>
          <w:sz w:val="32"/>
          <w:szCs w:val="32"/>
        </w:rPr>
        <w:t>政府性基金</w:t>
      </w:r>
      <w:r>
        <w:rPr>
          <w:rFonts w:hint="eastAsia" w:ascii="仿宋_GB2312" w:hAnsi="仿宋_GB2312" w:eastAsia="仿宋_GB2312" w:cs="仿宋_GB2312"/>
          <w:sz w:val="32"/>
          <w:szCs w:val="32"/>
          <w:lang w:eastAsia="zh-CN"/>
        </w:rPr>
        <w:t>安排的</w:t>
      </w:r>
      <w:r>
        <w:rPr>
          <w:rFonts w:hint="eastAsia" w:ascii="仿宋_GB2312" w:hAnsi="仿宋_GB2312" w:eastAsia="仿宋_GB2312" w:cs="仿宋_GB2312"/>
          <w:sz w:val="32"/>
          <w:szCs w:val="32"/>
        </w:rPr>
        <w:t>支出。</w:t>
      </w:r>
    </w:p>
    <w:p>
      <w:pPr>
        <w:pStyle w:val="4"/>
        <w:spacing w:before="181"/>
        <w:ind w:left="960"/>
        <w:rPr>
          <w:rFonts w:hint="eastAsia" w:ascii="黑体" w:eastAsia="黑体"/>
        </w:rPr>
      </w:pPr>
      <w:r>
        <w:rPr>
          <w:rFonts w:hint="eastAsia" w:ascii="黑体" w:eastAsia="黑体"/>
        </w:rPr>
        <w:t>十、机关运行经费支出情况说明</w:t>
      </w:r>
    </w:p>
    <w:p>
      <w:pPr>
        <w:pStyle w:val="4"/>
        <w:spacing w:before="180"/>
        <w:ind w:left="960"/>
      </w:pPr>
      <w:r>
        <w:t>2018 年度机关运行经费</w:t>
      </w:r>
      <w:r>
        <w:rPr>
          <w:u w:val="dotted"/>
        </w:rPr>
        <w:t>年</w:t>
      </w:r>
      <w:r>
        <w:t>初预算为 59.48 万元，支出决</w:t>
      </w:r>
    </w:p>
    <w:p>
      <w:pPr>
        <w:pStyle w:val="4"/>
        <w:spacing w:before="186" w:line="343" w:lineRule="auto"/>
        <w:ind w:left="320" w:right="600"/>
      </w:pPr>
      <w:r>
        <w:t>算为</w:t>
      </w:r>
      <w:r>
        <w:rPr>
          <w:spacing w:val="-83"/>
        </w:rPr>
        <w:t xml:space="preserve"> </w:t>
      </w:r>
      <w:r>
        <w:t>59.48</w:t>
      </w:r>
      <w:r>
        <w:rPr>
          <w:spacing w:val="-83"/>
        </w:rPr>
        <w:t xml:space="preserve"> </w:t>
      </w:r>
      <w:r>
        <w:t>万元</w:t>
      </w:r>
      <w:r>
        <w:rPr>
          <w:spacing w:val="-46"/>
        </w:rPr>
        <w:t>，</w:t>
      </w:r>
      <w:r>
        <w:t>完成年初预算的</w:t>
      </w:r>
      <w:r>
        <w:rPr>
          <w:spacing w:val="-82"/>
        </w:rPr>
        <w:t xml:space="preserve"> </w:t>
      </w:r>
      <w:r>
        <w:rPr>
          <w:spacing w:val="3"/>
        </w:rPr>
        <w:t>100</w:t>
      </w:r>
      <w:r>
        <w:rPr>
          <w:spacing w:val="8"/>
          <w:w w:val="99"/>
        </w:rPr>
        <w:drawing>
          <wp:inline distT="0" distB="0" distL="0" distR="0">
            <wp:extent cx="85090" cy="154940"/>
            <wp:effectExtent l="0" t="0" r="0" b="0"/>
            <wp:docPr id="1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46"/>
        </w:rPr>
        <w:t>。</w:t>
      </w:r>
      <w:r>
        <w:t>决算数与年初预算数</w:t>
      </w:r>
      <w:r>
        <w:rPr>
          <w:rFonts w:hint="eastAsia"/>
          <w:lang w:eastAsia="zh-CN"/>
        </w:rPr>
        <w:t>不</w:t>
      </w:r>
      <w:r>
        <w:t>存在差异。</w:t>
      </w:r>
    </w:p>
    <w:p>
      <w:pPr>
        <w:pStyle w:val="4"/>
        <w:ind w:left="960"/>
      </w:pPr>
      <w:r>
        <w:t>2018 年度机关运行经费支出 59.48 万元，较上年度减少</w:t>
      </w:r>
    </w:p>
    <w:p>
      <w:pPr>
        <w:pStyle w:val="4"/>
        <w:spacing w:before="176" w:line="348" w:lineRule="auto"/>
        <w:ind w:left="320" w:right="600"/>
      </w:pPr>
      <w:r>
        <w:rPr>
          <w:position w:val="1"/>
        </w:rPr>
        <w:t>12.09</w:t>
      </w:r>
      <w:r>
        <w:rPr>
          <w:spacing w:val="-79"/>
          <w:position w:val="1"/>
        </w:rPr>
        <w:t xml:space="preserve"> </w:t>
      </w:r>
      <w:r>
        <w:rPr>
          <w:spacing w:val="7"/>
          <w:position w:val="1"/>
        </w:rPr>
        <w:t>万元，下</w:t>
      </w:r>
      <w:r>
        <w:rPr>
          <w:position w:val="1"/>
        </w:rPr>
        <w:t>降</w:t>
      </w:r>
      <w:r>
        <w:rPr>
          <w:spacing w:val="-75"/>
          <w:position w:val="1"/>
        </w:rPr>
        <w:t xml:space="preserve"> </w:t>
      </w:r>
      <w:r>
        <w:rPr>
          <w:spacing w:val="6"/>
          <w:position w:val="1"/>
        </w:rPr>
        <w:t>20</w:t>
      </w:r>
      <w:r>
        <w:rPr>
          <w:spacing w:val="11"/>
          <w:w w:val="99"/>
        </w:rPr>
        <w:drawing>
          <wp:inline distT="0" distB="0" distL="0" distR="0">
            <wp:extent cx="85090" cy="154940"/>
            <wp:effectExtent l="0" t="0" r="0" b="0"/>
            <wp:docPr id="1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7"/>
          <w:position w:val="1"/>
        </w:rPr>
        <w:t>。减少的主</w:t>
      </w:r>
      <w:r>
        <w:rPr>
          <w:spacing w:val="9"/>
          <w:position w:val="1"/>
        </w:rPr>
        <w:t>要</w:t>
      </w:r>
      <w:r>
        <w:rPr>
          <w:spacing w:val="7"/>
          <w:position w:val="1"/>
        </w:rPr>
        <w:t>原因是：厉行节约，</w:t>
      </w:r>
      <w:r>
        <w:rPr>
          <w:position w:val="1"/>
        </w:rPr>
        <w:t>减</w:t>
      </w:r>
      <w:r>
        <w:t>少支出。</w:t>
      </w:r>
    </w:p>
    <w:p>
      <w:pPr>
        <w:pStyle w:val="4"/>
        <w:spacing w:line="407" w:lineRule="exact"/>
        <w:ind w:left="960"/>
        <w:rPr>
          <w:rFonts w:hint="eastAsia" w:ascii="黑体" w:eastAsia="黑体"/>
        </w:rPr>
      </w:pPr>
      <w:r>
        <w:rPr>
          <w:rFonts w:hint="eastAsia" w:ascii="黑体" w:eastAsia="黑体"/>
        </w:rPr>
        <w:t>十一、政府采购支出情况说明</w:t>
      </w:r>
    </w:p>
    <w:p>
      <w:pPr>
        <w:pStyle w:val="4"/>
        <w:spacing w:before="180" w:line="345" w:lineRule="auto"/>
        <w:ind w:left="320" w:right="439" w:firstLine="640"/>
        <w:rPr>
          <w:rFonts w:hint="default" w:eastAsia="仿宋_GB2312"/>
          <w:lang w:val="en-US" w:eastAsia="zh-CN"/>
        </w:rPr>
      </w:pPr>
      <w:r>
        <w:t>2018</w:t>
      </w:r>
      <w:r>
        <w:rPr>
          <w:spacing w:val="-13"/>
        </w:rPr>
        <w:t xml:space="preserve"> 年度政府采购支出总额 </w:t>
      </w:r>
      <w:r>
        <w:t>27.096</w:t>
      </w:r>
      <w:r>
        <w:rPr>
          <w:spacing w:val="-8"/>
        </w:rPr>
        <w:t xml:space="preserve"> 万元，其中：政府</w:t>
      </w:r>
      <w:r>
        <w:rPr>
          <w:spacing w:val="-19"/>
        </w:rPr>
        <w:t xml:space="preserve">采购货物支出 </w:t>
      </w:r>
      <w:r>
        <w:t>27.09</w:t>
      </w:r>
      <w:r>
        <w:rPr>
          <w:spacing w:val="-16"/>
        </w:rPr>
        <w:t xml:space="preserve"> 万元、政府采购工程支出 </w:t>
      </w:r>
      <w:r>
        <w:t>0</w:t>
      </w:r>
      <w:r>
        <w:rPr>
          <w:spacing w:val="-16"/>
        </w:rPr>
        <w:t xml:space="preserve"> 万元、政府</w:t>
      </w:r>
      <w:r>
        <w:rPr>
          <w:spacing w:val="-26"/>
        </w:rPr>
        <w:t xml:space="preserve">采购服务支出 </w:t>
      </w:r>
      <w:r>
        <w:t>0</w:t>
      </w:r>
      <w:r>
        <w:rPr>
          <w:spacing w:val="-15"/>
        </w:rPr>
        <w:t xml:space="preserve"> 万元。授予中小企业合同金额 </w:t>
      </w:r>
      <w:r>
        <w:t>0</w:t>
      </w:r>
      <w:r>
        <w:rPr>
          <w:spacing w:val="-16"/>
        </w:rPr>
        <w:t xml:space="preserve"> 万元，占政</w:t>
      </w:r>
      <w:r>
        <w:rPr>
          <w:spacing w:val="-16"/>
          <w:position w:val="1"/>
        </w:rPr>
        <w:t>府采购支出总额的</w:t>
      </w:r>
      <w:r>
        <w:rPr>
          <w:spacing w:val="-84"/>
          <w:position w:val="1"/>
        </w:rPr>
        <w:t xml:space="preserve"> </w:t>
      </w:r>
      <w:r>
        <w:rPr>
          <w:spacing w:val="11"/>
          <w:position w:val="1"/>
        </w:rPr>
        <w:t>0</w:t>
      </w:r>
      <w:r>
        <w:rPr>
          <w:spacing w:val="11"/>
          <w:w w:val="99"/>
        </w:rPr>
        <w:drawing>
          <wp:inline distT="0" distB="0" distL="0" distR="0">
            <wp:extent cx="85090" cy="154940"/>
            <wp:effectExtent l="0" t="0" r="0" b="0"/>
            <wp:docPr id="1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1.png"/>
                    <pic:cNvPicPr>
                      <a:picLocks noChangeAspect="1"/>
                    </pic:cNvPicPr>
                  </pic:nvPicPr>
                  <pic:blipFill>
                    <a:blip r:embed="rId47" cstate="print"/>
                    <a:stretch>
                      <a:fillRect/>
                    </a:stretch>
                  </pic:blipFill>
                  <pic:spPr>
                    <a:xfrm>
                      <a:off x="0" y="0"/>
                      <a:ext cx="85724" cy="155574"/>
                    </a:xfrm>
                    <a:prstGeom prst="rect">
                      <a:avLst/>
                    </a:prstGeom>
                  </pic:spPr>
                </pic:pic>
              </a:graphicData>
            </a:graphic>
          </wp:inline>
        </w:drawing>
      </w:r>
      <w:r>
        <w:rPr>
          <w:spacing w:val="-125"/>
          <w:position w:val="1"/>
        </w:rPr>
        <w:t>，</w:t>
      </w:r>
      <w:r>
        <w:rPr>
          <w:position w:val="1"/>
        </w:rPr>
        <w:t>其中</w:t>
      </w:r>
      <w:r>
        <w:rPr>
          <w:spacing w:val="-125"/>
          <w:position w:val="1"/>
        </w:rPr>
        <w:t>：</w:t>
      </w:r>
      <w:r>
        <w:rPr>
          <w:position w:val="1"/>
        </w:rPr>
        <w:t>授予小微企业合同金额</w:t>
      </w:r>
      <w:r>
        <w:rPr>
          <w:spacing w:val="-85"/>
          <w:position w:val="1"/>
        </w:rPr>
        <w:t xml:space="preserve"> </w:t>
      </w:r>
      <w:r>
        <w:rPr>
          <w:position w:val="1"/>
        </w:rPr>
        <w:t>0</w:t>
      </w:r>
      <w:r>
        <w:rPr>
          <w:spacing w:val="-84"/>
          <w:position w:val="1"/>
        </w:rPr>
        <w:t xml:space="preserve"> </w:t>
      </w:r>
      <w:r>
        <w:rPr>
          <w:position w:val="1"/>
        </w:rPr>
        <w:t>万元，</w:t>
      </w:r>
      <w:r>
        <w:t>占政府采购支出总额的</w:t>
      </w:r>
      <w:r>
        <w:rPr>
          <w:rFonts w:hint="eastAsia"/>
          <w:lang w:val="en-US" w:eastAsia="zh-CN"/>
        </w:rPr>
        <w:t>100%。</w:t>
      </w:r>
    </w:p>
    <w:p>
      <w:pPr>
        <w:pStyle w:val="4"/>
        <w:spacing w:line="408" w:lineRule="exact"/>
        <w:ind w:left="960"/>
        <w:rPr>
          <w:rFonts w:hint="eastAsia" w:ascii="黑体" w:eastAsia="黑体"/>
        </w:rPr>
      </w:pPr>
      <w:r>
        <w:rPr>
          <w:rFonts w:hint="eastAsia" w:ascii="黑体" w:eastAsia="黑体"/>
        </w:rPr>
        <w:t>十二、国有资产占用情况说明</w:t>
      </w:r>
    </w:p>
    <w:p>
      <w:pPr>
        <w:pStyle w:val="4"/>
        <w:spacing w:before="181"/>
        <w:ind w:right="597"/>
        <w:jc w:val="right"/>
      </w:pPr>
      <w:r>
        <w:t>2018</w:t>
      </w:r>
      <w:r>
        <w:rPr>
          <w:spacing w:val="-18"/>
        </w:rPr>
        <w:t xml:space="preserve"> 年期末，我部门共有车辆 </w:t>
      </w:r>
      <w:r>
        <w:t>1</w:t>
      </w:r>
      <w:r>
        <w:rPr>
          <w:spacing w:val="-16"/>
        </w:rPr>
        <w:t xml:space="preserve"> 辆，其中：省级领导干</w:t>
      </w:r>
    </w:p>
    <w:p>
      <w:pPr>
        <w:pStyle w:val="4"/>
        <w:spacing w:before="180"/>
        <w:ind w:right="585"/>
        <w:jc w:val="right"/>
      </w:pPr>
      <w:r>
        <w:rPr>
          <w:spacing w:val="-21"/>
        </w:rPr>
        <w:t xml:space="preserve">部用车 </w:t>
      </w:r>
      <w:r>
        <w:t>0</w:t>
      </w:r>
      <w:r>
        <w:rPr>
          <w:spacing w:val="-16"/>
        </w:rPr>
        <w:t xml:space="preserve"> 辆、主要领导干部用车 </w:t>
      </w:r>
      <w:r>
        <w:t>0</w:t>
      </w:r>
      <w:r>
        <w:rPr>
          <w:spacing w:val="-18"/>
        </w:rPr>
        <w:t xml:space="preserve"> 辆、机要通信用车 </w:t>
      </w:r>
      <w:r>
        <w:t>0</w:t>
      </w:r>
      <w:r>
        <w:rPr>
          <w:spacing w:val="-28"/>
        </w:rPr>
        <w:t xml:space="preserve"> 辆、</w:t>
      </w:r>
    </w:p>
    <w:p>
      <w:pPr>
        <w:pStyle w:val="4"/>
        <w:spacing w:before="178"/>
        <w:ind w:right="663"/>
        <w:jc w:val="right"/>
      </w:pPr>
      <w:r>
        <w:rPr>
          <w:spacing w:val="-14"/>
        </w:rPr>
        <w:t xml:space="preserve">应急保障车 </w:t>
      </w:r>
      <w:r>
        <w:t>0</w:t>
      </w:r>
      <w:r>
        <w:rPr>
          <w:spacing w:val="-19"/>
        </w:rPr>
        <w:t xml:space="preserve"> 辆、执法执勤用车 </w:t>
      </w:r>
      <w:r>
        <w:t>1</w:t>
      </w:r>
      <w:r>
        <w:rPr>
          <w:spacing w:val="-16"/>
        </w:rPr>
        <w:t xml:space="preserve"> 辆、特种专业技术用车 </w:t>
      </w:r>
      <w:r>
        <w:t>0</w:t>
      </w:r>
    </w:p>
    <w:p>
      <w:pPr>
        <w:pStyle w:val="4"/>
        <w:spacing w:before="180" w:line="345" w:lineRule="auto"/>
        <w:ind w:left="320" w:right="600"/>
        <w:jc w:val="both"/>
      </w:pPr>
      <w:r>
        <w:rPr>
          <w:spacing w:val="-4"/>
        </w:rPr>
        <w:t xml:space="preserve">辆、离退休干部用车 </w:t>
      </w:r>
      <w:r>
        <w:t>0</w:t>
      </w:r>
      <w:r>
        <w:rPr>
          <w:spacing w:val="-16"/>
        </w:rPr>
        <w:t xml:space="preserve"> 辆、其他用车 </w:t>
      </w:r>
      <w:r>
        <w:t>0</w:t>
      </w:r>
      <w:r>
        <w:rPr>
          <w:spacing w:val="-16"/>
        </w:rPr>
        <w:t xml:space="preserve"> 辆；单位价值 </w:t>
      </w:r>
      <w:r>
        <w:t>50</w:t>
      </w:r>
      <w:r>
        <w:rPr>
          <w:spacing w:val="-40"/>
        </w:rPr>
        <w:t xml:space="preserve"> 万</w:t>
      </w:r>
      <w:r>
        <w:rPr>
          <w:spacing w:val="-46"/>
        </w:rPr>
        <w:t xml:space="preserve">元以上通用设备 </w:t>
      </w:r>
      <w:r>
        <w:t>0</w:t>
      </w:r>
      <w:r>
        <w:rPr>
          <w:spacing w:val="-44"/>
        </w:rPr>
        <w:t xml:space="preserve"> 台</w:t>
      </w:r>
      <w:r>
        <w:t>（套</w:t>
      </w:r>
      <w:r>
        <w:rPr>
          <w:spacing w:val="-5"/>
        </w:rPr>
        <w:t>），</w:t>
      </w:r>
      <w:r>
        <w:rPr>
          <w:spacing w:val="-17"/>
        </w:rPr>
        <w:t xml:space="preserve">单位价值 </w:t>
      </w:r>
      <w:r>
        <w:t>100</w:t>
      </w:r>
      <w:r>
        <w:rPr>
          <w:spacing w:val="-12"/>
        </w:rPr>
        <w:t xml:space="preserve"> 万元以上专用设</w:t>
      </w:r>
      <w:r>
        <w:rPr>
          <w:spacing w:val="-46"/>
        </w:rPr>
        <w:t xml:space="preserve">备 </w:t>
      </w:r>
      <w:r>
        <w:t>0</w:t>
      </w:r>
      <w:r>
        <w:rPr>
          <w:spacing w:val="-40"/>
        </w:rPr>
        <w:t xml:space="preserve"> 台</w:t>
      </w:r>
      <w:r>
        <w:t>（套）。</w:t>
      </w:r>
    </w:p>
    <w:p>
      <w:pPr>
        <w:spacing w:after="0" w:line="345" w:lineRule="auto"/>
        <w:jc w:val="both"/>
        <w:sectPr>
          <w:pgSz w:w="11910" w:h="16840"/>
          <w:pgMar w:top="1540" w:right="1200" w:bottom="900" w:left="1480" w:header="0" w:footer="704"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2"/>
        <w:tabs>
          <w:tab w:val="left" w:pos="5460"/>
        </w:tabs>
        <w:spacing w:before="188"/>
        <w:ind w:left="3060"/>
      </w:pPr>
      <w:r>
        <w:t>第四部分</w:t>
      </w:r>
      <w:r>
        <w:tab/>
      </w:r>
      <w:r>
        <w:t>名词解释</w:t>
      </w:r>
    </w:p>
    <w:p>
      <w:pPr>
        <w:spacing w:after="0"/>
        <w:sectPr>
          <w:footerReference r:id="rId24" w:type="default"/>
          <w:pgSz w:w="11910" w:h="16840"/>
          <w:pgMar w:top="1580" w:right="1200" w:bottom="1160" w:left="1480" w:header="0" w:footer="975" w:gutter="0"/>
          <w:pgNumType w:start="38"/>
          <w:cols w:space="720" w:num="1"/>
        </w:sectPr>
      </w:pPr>
    </w:p>
    <w:p>
      <w:pPr>
        <w:pStyle w:val="4"/>
        <w:rPr>
          <w:rFonts w:ascii="黑体"/>
          <w:sz w:val="20"/>
        </w:rPr>
      </w:pPr>
    </w:p>
    <w:p>
      <w:pPr>
        <w:pStyle w:val="4"/>
        <w:spacing w:before="226" w:line="345" w:lineRule="auto"/>
        <w:ind w:left="108" w:right="273" w:firstLine="638"/>
      </w:pPr>
      <w:r>
        <w:rPr>
          <w:spacing w:val="-11"/>
        </w:rPr>
        <w:t>一、财政拨款收入：单位从同级政府财政部门取得的财政预算资金。</w:t>
      </w:r>
    </w:p>
    <w:p>
      <w:pPr>
        <w:pStyle w:val="4"/>
        <w:spacing w:line="343" w:lineRule="auto"/>
        <w:ind w:left="108" w:right="273" w:firstLine="638"/>
      </w:pPr>
      <w:r>
        <w:rPr>
          <w:spacing w:val="-11"/>
        </w:rPr>
        <w:t>二、事业收入：事业单位开展专业业务活动及其辅助活动取得的收入。</w:t>
      </w:r>
    </w:p>
    <w:p>
      <w:pPr>
        <w:pStyle w:val="4"/>
        <w:spacing w:before="6" w:line="345" w:lineRule="auto"/>
        <w:ind w:left="108" w:right="273" w:firstLine="638"/>
      </w:pPr>
      <w:r>
        <w:rPr>
          <w:spacing w:val="-11"/>
        </w:rPr>
        <w:t>三、上级补助收入：事业单位从主管部门和上级单位取得的非财政补助收入。</w:t>
      </w:r>
    </w:p>
    <w:p>
      <w:pPr>
        <w:pStyle w:val="4"/>
        <w:spacing w:line="345" w:lineRule="auto"/>
        <w:ind w:left="108" w:right="271" w:firstLine="638"/>
      </w:pPr>
      <w:r>
        <w:rPr>
          <w:spacing w:val="-12"/>
        </w:rPr>
        <w:t>四、附属单位上缴收入：事业单位取得附属独立核算单位根据有关规定上缴的收入。</w:t>
      </w:r>
    </w:p>
    <w:p>
      <w:pPr>
        <w:pStyle w:val="4"/>
        <w:spacing w:line="343" w:lineRule="auto"/>
        <w:ind w:left="108" w:right="273" w:firstLine="638"/>
      </w:pPr>
      <w:r>
        <w:rPr>
          <w:spacing w:val="-11"/>
        </w:rPr>
        <w:t>五、经营收入：事业单位在专业业务活动及其辅助活动之外开展非独立核算经营活动取得的收入。</w:t>
      </w:r>
    </w:p>
    <w:p>
      <w:pPr>
        <w:pStyle w:val="4"/>
        <w:spacing w:before="6" w:line="345" w:lineRule="auto"/>
        <w:ind w:left="108" w:right="114" w:firstLine="638"/>
      </w:pPr>
      <w:r>
        <w:rPr>
          <w:spacing w:val="-11"/>
        </w:rPr>
        <w:t>六、其他收入：单位取得的除“财政拨款收入”、“事业收</w:t>
      </w:r>
      <w:r>
        <w:rPr>
          <w:spacing w:val="-18"/>
          <w:w w:val="95"/>
        </w:rPr>
        <w:t xml:space="preserve">入”、“上级补助收入”、“附属单位上缴收入”、“经营收入” </w:t>
      </w:r>
      <w:r>
        <w:rPr>
          <w:spacing w:val="-18"/>
        </w:rPr>
        <w:t>以外的各项收入。</w:t>
      </w:r>
    </w:p>
    <w:p>
      <w:pPr>
        <w:pStyle w:val="4"/>
        <w:spacing w:line="345" w:lineRule="auto"/>
        <w:ind w:left="108" w:right="271" w:firstLine="638"/>
        <w:jc w:val="both"/>
      </w:pPr>
      <w:r>
        <w:rPr>
          <w:spacing w:val="-12"/>
        </w:rPr>
        <w:t>七、用事业基金弥补收支差额：事业单位在当年收入不足以</w:t>
      </w:r>
      <w:r>
        <w:rPr>
          <w:spacing w:val="-16"/>
        </w:rPr>
        <w:t>安排当年支出的情况下，使用以前年度积累的事业基金</w:t>
      </w:r>
      <w:r>
        <w:t>（事业单</w:t>
      </w:r>
      <w:r>
        <w:rPr>
          <w:spacing w:val="-8"/>
        </w:rPr>
        <w:t>位当年收支相抵后按国家规定提取、用于弥补以后年度收支差额的基金）弥补当年收支缺口的资金。</w:t>
      </w:r>
    </w:p>
    <w:p>
      <w:pPr>
        <w:pStyle w:val="4"/>
        <w:spacing w:line="345" w:lineRule="auto"/>
        <w:ind w:left="108" w:right="271" w:firstLine="638"/>
      </w:pPr>
      <w:r>
        <w:rPr>
          <w:spacing w:val="-12"/>
        </w:rPr>
        <w:t>八、基本支出：为保障机构正常运转、完成日常工作任务而发生的人员支出和公用支出。</w:t>
      </w:r>
    </w:p>
    <w:p>
      <w:pPr>
        <w:pStyle w:val="4"/>
        <w:spacing w:line="345" w:lineRule="auto"/>
        <w:ind w:left="108" w:right="273" w:firstLine="638"/>
      </w:pPr>
      <w:r>
        <w:rPr>
          <w:spacing w:val="-11"/>
        </w:rPr>
        <w:t>九、项目支出：基本支出之外为完成特定行政任务和事业发展目标所发生的支出。</w:t>
      </w:r>
    </w:p>
    <w:p>
      <w:pPr>
        <w:spacing w:after="0" w:line="345" w:lineRule="auto"/>
        <w:sectPr>
          <w:pgSz w:w="11910" w:h="16840"/>
          <w:pgMar w:top="1580" w:right="1200" w:bottom="1160" w:left="1480" w:header="0" w:footer="975" w:gutter="0"/>
          <w:cols w:space="720" w:num="1"/>
        </w:sectPr>
      </w:pPr>
    </w:p>
    <w:p>
      <w:pPr>
        <w:pStyle w:val="4"/>
        <w:rPr>
          <w:sz w:val="20"/>
        </w:rPr>
      </w:pPr>
    </w:p>
    <w:p>
      <w:pPr>
        <w:pStyle w:val="4"/>
        <w:spacing w:before="226" w:line="345" w:lineRule="auto"/>
        <w:ind w:left="108" w:right="114" w:firstLine="638"/>
      </w:pPr>
      <w:r>
        <w:rPr>
          <w:spacing w:val="-19"/>
          <w:w w:val="95"/>
        </w:rPr>
        <w:t xml:space="preserve">十、“三公”经费：纳入同级财政预决算管理“三公”经费， </w:t>
      </w:r>
      <w:r>
        <w:rPr>
          <w:spacing w:val="-21"/>
        </w:rPr>
        <w:t>指部门使用财政拨款安排的因公出国</w:t>
      </w:r>
      <w:r>
        <w:t>（境</w:t>
      </w:r>
      <w:r>
        <w:rPr>
          <w:spacing w:val="-39"/>
        </w:rPr>
        <w:t>）</w:t>
      </w:r>
      <w:r>
        <w:rPr>
          <w:spacing w:val="-7"/>
        </w:rPr>
        <w:t>费、公务用车购置及</w:t>
      </w:r>
      <w:r>
        <w:rPr>
          <w:spacing w:val="-13"/>
        </w:rPr>
        <w:t>运行费和公务接待费。其中，因公出国</w:t>
      </w:r>
      <w:r>
        <w:t>（境</w:t>
      </w:r>
      <w:r>
        <w:rPr>
          <w:spacing w:val="-29"/>
        </w:rPr>
        <w:t>）</w:t>
      </w:r>
      <w:r>
        <w:t>费反映单位公务出国（境）</w:t>
      </w:r>
      <w:r>
        <w:rPr>
          <w:spacing w:val="-5"/>
        </w:rPr>
        <w:t>的国际旅费、国外城市间交通费、住宿费、伙食费、培</w:t>
      </w:r>
      <w:r>
        <w:rPr>
          <w:spacing w:val="-12"/>
        </w:rPr>
        <w:t>训费、公杂费等支出；公务用车购置及运行费反映反映单位公务</w:t>
      </w:r>
      <w:r>
        <w:rPr>
          <w:spacing w:val="-19"/>
          <w:w w:val="95"/>
        </w:rPr>
        <w:t>用车车辆购置支出</w:t>
      </w:r>
      <w:r>
        <w:rPr>
          <w:w w:val="95"/>
        </w:rPr>
        <w:t>（含车辆购置税</w:t>
      </w:r>
      <w:r>
        <w:rPr>
          <w:spacing w:val="-70"/>
          <w:w w:val="95"/>
        </w:rPr>
        <w:t>）</w:t>
      </w:r>
      <w:r>
        <w:rPr>
          <w:spacing w:val="-13"/>
          <w:w w:val="95"/>
        </w:rPr>
        <w:t xml:space="preserve">及租用费、燃料费、维修费、 </w:t>
      </w:r>
      <w:r>
        <w:rPr>
          <w:spacing w:val="-15"/>
        </w:rPr>
        <w:t>过路过桥费、保险费、安全奖励费用等支出；公务接待费反映单位按规定开支的各类公务接待（含外宾接待）支出。</w:t>
      </w:r>
    </w:p>
    <w:p>
      <w:pPr>
        <w:pStyle w:val="4"/>
        <w:spacing w:line="345" w:lineRule="auto"/>
        <w:ind w:left="108" w:right="156" w:firstLine="638"/>
      </w:pPr>
      <w:r>
        <w:rPr>
          <w:spacing w:val="-12"/>
        </w:rPr>
        <w:t>十一、机关运行经费：为保障行政单位</w:t>
      </w:r>
      <w:r>
        <w:t>（含参照公务员法管理的事业单位</w:t>
      </w:r>
      <w:r>
        <w:rPr>
          <w:spacing w:val="-58"/>
        </w:rPr>
        <w:t>）</w:t>
      </w:r>
      <w:r>
        <w:rPr>
          <w:spacing w:val="-4"/>
        </w:rPr>
        <w:t>运行用于购买货物和服务的各项资金，包括办公</w:t>
      </w:r>
      <w:r>
        <w:rPr>
          <w:spacing w:val="-9"/>
        </w:rPr>
        <w:t>及印刷费、邮电费、差旅费、会议费、福利费、日常维修费、专用材料及一般设备购置费、办公用房水电费、办公用房取暖费、办公用房物业管理费、公务用车运行维护费以及其他费用。</w:t>
      </w:r>
    </w:p>
    <w:p>
      <w:pPr>
        <w:pStyle w:val="4"/>
        <w:spacing w:line="345" w:lineRule="auto"/>
        <w:ind w:left="108" w:right="273" w:firstLine="638"/>
        <w:jc w:val="both"/>
      </w:pPr>
      <w:r>
        <w:rPr>
          <w:spacing w:val="-11"/>
        </w:rPr>
        <w:t>十二、工资福利支出：单位支付给在职职工和编制外长期聘</w:t>
      </w:r>
      <w:r>
        <w:rPr>
          <w:spacing w:val="-16"/>
          <w:w w:val="95"/>
        </w:rPr>
        <w:t xml:space="preserve">用人员的各类劳动报酬，以及为上述人员缴纳的各项社会保险费 </w:t>
      </w:r>
      <w:r>
        <w:rPr>
          <w:spacing w:val="-16"/>
        </w:rPr>
        <w:t>等。</w:t>
      </w:r>
    </w:p>
    <w:p>
      <w:pPr>
        <w:pStyle w:val="4"/>
        <w:spacing w:line="404" w:lineRule="exact"/>
        <w:ind w:left="747"/>
      </w:pPr>
      <w:r>
        <w:t>十三、商品和服务支出：单位购买商品和服务的支出。</w:t>
      </w:r>
    </w:p>
    <w:p>
      <w:pPr>
        <w:pStyle w:val="4"/>
        <w:spacing w:before="180" w:line="345" w:lineRule="auto"/>
        <w:ind w:left="108" w:right="273" w:firstLine="638"/>
      </w:pPr>
      <w:r>
        <w:rPr>
          <w:spacing w:val="-12"/>
        </w:rPr>
        <w:t>十四、对个人和家庭的补助支出：单位用于对个人和家庭的补助支出。</w:t>
      </w:r>
    </w:p>
    <w:p>
      <w:pPr>
        <w:pStyle w:val="4"/>
        <w:spacing w:line="345" w:lineRule="auto"/>
        <w:ind w:left="108" w:right="271" w:firstLine="638"/>
        <w:jc w:val="both"/>
      </w:pPr>
      <w:r>
        <w:rPr>
          <w:spacing w:val="-11"/>
        </w:rPr>
        <w:t>十五、年末结转：本年度或以前年度预算安排，已执行但尚</w:t>
      </w:r>
      <w:r>
        <w:rPr>
          <w:spacing w:val="-16"/>
        </w:rPr>
        <w:t>未完成或因客观条件发生变化无法按原计划实施，需延迟到以后年度按有关规定继续使用的资金。</w:t>
      </w:r>
    </w:p>
    <w:p>
      <w:pPr>
        <w:spacing w:after="0" w:line="345" w:lineRule="auto"/>
        <w:jc w:val="both"/>
        <w:sectPr>
          <w:footerReference r:id="rId25" w:type="default"/>
          <w:pgSz w:w="11910" w:h="16840"/>
          <w:pgMar w:top="1580" w:right="1200" w:bottom="1160" w:left="1480" w:header="0" w:footer="975" w:gutter="0"/>
          <w:pgNumType w:start="40"/>
          <w:cols w:space="720" w:num="1"/>
        </w:sectPr>
      </w:pPr>
    </w:p>
    <w:p>
      <w:pPr>
        <w:pStyle w:val="4"/>
        <w:rPr>
          <w:sz w:val="20"/>
        </w:rPr>
      </w:pPr>
    </w:p>
    <w:p>
      <w:pPr>
        <w:pStyle w:val="4"/>
        <w:spacing w:before="226" w:line="345" w:lineRule="auto"/>
        <w:ind w:left="108" w:right="273" w:firstLine="638"/>
        <w:jc w:val="both"/>
      </w:pPr>
      <w:r>
        <w:rPr>
          <w:spacing w:val="-11"/>
          <w:w w:val="95"/>
        </w:rPr>
        <w:t xml:space="preserve">十六、年末结余：本年度或以前年度预算安排，已执行完毕 </w:t>
      </w:r>
      <w:r>
        <w:rPr>
          <w:spacing w:val="-16"/>
          <w:w w:val="95"/>
        </w:rPr>
        <w:t xml:space="preserve">或因客观条件发生变化无法按原预算安排实施，不需要再使用或 </w:t>
      </w:r>
      <w:r>
        <w:rPr>
          <w:spacing w:val="-16"/>
        </w:rPr>
        <w:t>无法按原预算安排继续使用的资金</w:t>
      </w:r>
    </w:p>
    <w:sectPr>
      <w:pgSz w:w="11910" w:h="16840"/>
      <w:pgMar w:top="1580" w:right="1200" w:bottom="1160" w:left="1480" w:header="0" w:footer="97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文星标宋">
    <w:altName w:val="宋体"/>
    <w:panose1 w:val="0201060900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290.95pt;margin-top:782.1pt;height:11pt;width:16.2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w:t>
                </w:r>
                <w:r>
                  <w:fldChar w:fldCharType="end"/>
                </w:r>
                <w:r>
                  <w:rPr>
                    <w:rFonts w:ascii="Calibri"/>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410.6pt;margin-top:549.05pt;height:11pt;width:20.6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22</w:t>
                </w:r>
                <w:r>
                  <w:fldChar w:fldCharType="end"/>
                </w:r>
                <w:r>
                  <w:rPr>
                    <w:rFonts w:ascii="Calibri"/>
                    <w:sz w:val="18"/>
                  </w:rPr>
                  <w:t xml:space="preserve"> -</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2" o:spid="_x0000_s2052" o:spt="202" type="#_x0000_t202" style="position:absolute;left:0pt;margin-left:287.2pt;margin-top:795.65pt;height:11pt;width:20.7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30</w:t>
                </w:r>
                <w:r>
                  <w:fldChar w:fldCharType="end"/>
                </w:r>
                <w:r>
                  <w:rPr>
                    <w:rFonts w:ascii="Calibri"/>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289.6pt;margin-top:795.65pt;height:11pt;width:16.0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3</w:t>
                </w:r>
                <w:r>
                  <w:fldChar w:fldCharType="end"/>
                </w:r>
                <w:r>
                  <w:rPr>
                    <w:rFonts w:ascii="Calibri"/>
                    <w:sz w:val="18"/>
                  </w:rPr>
                  <w:t xml:space="preserve"> -</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3" o:spid="_x0000_s2053" o:spt="202" type="#_x0000_t202" style="position:absolute;left:0pt;margin-left:288.65pt;margin-top:782.1pt;height:11pt;width:20.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38</w:t>
                </w:r>
                <w:r>
                  <w:fldChar w:fldCharType="end"/>
                </w:r>
                <w:r>
                  <w:rPr>
                    <w:rFonts w:ascii="Calibri"/>
                    <w:sz w:val="18"/>
                  </w:rPr>
                  <w:t xml:space="preserve"> -</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4" o:spid="_x0000_s2054" o:spt="202" type="#_x0000_t202" style="position:absolute;left:0pt;margin-left:290.1pt;margin-top:782.1pt;height:11pt;width:20.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40</w:t>
                </w:r>
                <w:r>
                  <w:fldChar w:fldCharType="end"/>
                </w:r>
                <w:r>
                  <w:rPr>
                    <w:rFonts w:ascii="Calibri"/>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338"/>
      <w:numFmt w:val="decimal"/>
      <w:lvlText w:val="%1"/>
      <w:lvlJc w:val="left"/>
      <w:pPr>
        <w:ind w:left="320" w:hanging="1037"/>
        <w:jc w:val="left"/>
      </w:pPr>
      <w:rPr>
        <w:rFonts w:hint="default"/>
        <w:lang w:val="zh-CN" w:eastAsia="zh-CN" w:bidi="zh-CN"/>
      </w:rPr>
    </w:lvl>
    <w:lvl w:ilvl="1" w:tentative="0">
      <w:start w:val="17"/>
      <w:numFmt w:val="decimal"/>
      <w:lvlText w:val="%1.%2"/>
      <w:lvlJc w:val="left"/>
      <w:pPr>
        <w:ind w:left="320" w:hanging="1037"/>
        <w:jc w:val="left"/>
      </w:pPr>
      <w:rPr>
        <w:rFonts w:hint="default" w:ascii="仿宋_GB2312" w:hAnsi="仿宋_GB2312" w:eastAsia="仿宋_GB2312" w:cs="仿宋_GB2312"/>
        <w:spacing w:val="-2"/>
        <w:w w:val="99"/>
        <w:position w:val="1"/>
        <w:sz w:val="32"/>
        <w:szCs w:val="32"/>
        <w:lang w:val="zh-CN" w:eastAsia="zh-CN" w:bidi="zh-CN"/>
      </w:rPr>
    </w:lvl>
    <w:lvl w:ilvl="2" w:tentative="0">
      <w:start w:val="1"/>
      <w:numFmt w:val="decimal"/>
      <w:lvlText w:val="%3."/>
      <w:lvlJc w:val="left"/>
      <w:pPr>
        <w:ind w:left="320" w:hanging="480"/>
        <w:jc w:val="left"/>
      </w:pPr>
      <w:rPr>
        <w:rFonts w:hint="default" w:ascii="仿宋_GB2312" w:hAnsi="仿宋_GB2312" w:eastAsia="仿宋_GB2312" w:cs="仿宋_GB2312"/>
        <w:spacing w:val="-2"/>
        <w:w w:val="99"/>
        <w:sz w:val="30"/>
        <w:szCs w:val="30"/>
        <w:lang w:val="zh-CN" w:eastAsia="zh-CN" w:bidi="zh-CN"/>
      </w:rPr>
    </w:lvl>
    <w:lvl w:ilvl="3" w:tentative="0">
      <w:start w:val="0"/>
      <w:numFmt w:val="bullet"/>
      <w:lvlText w:val="•"/>
      <w:lvlJc w:val="left"/>
      <w:pPr>
        <w:ind w:left="2991" w:hanging="480"/>
      </w:pPr>
      <w:rPr>
        <w:rFonts w:hint="default"/>
        <w:lang w:val="zh-CN" w:eastAsia="zh-CN" w:bidi="zh-CN"/>
      </w:rPr>
    </w:lvl>
    <w:lvl w:ilvl="4" w:tentative="0">
      <w:start w:val="0"/>
      <w:numFmt w:val="bullet"/>
      <w:lvlText w:val="•"/>
      <w:lvlJc w:val="left"/>
      <w:pPr>
        <w:ind w:left="3882" w:hanging="480"/>
      </w:pPr>
      <w:rPr>
        <w:rFonts w:hint="default"/>
        <w:lang w:val="zh-CN" w:eastAsia="zh-CN" w:bidi="zh-CN"/>
      </w:rPr>
    </w:lvl>
    <w:lvl w:ilvl="5" w:tentative="0">
      <w:start w:val="0"/>
      <w:numFmt w:val="bullet"/>
      <w:lvlText w:val="•"/>
      <w:lvlJc w:val="left"/>
      <w:pPr>
        <w:ind w:left="4773" w:hanging="480"/>
      </w:pPr>
      <w:rPr>
        <w:rFonts w:hint="default"/>
        <w:lang w:val="zh-CN" w:eastAsia="zh-CN" w:bidi="zh-CN"/>
      </w:rPr>
    </w:lvl>
    <w:lvl w:ilvl="6" w:tentative="0">
      <w:start w:val="0"/>
      <w:numFmt w:val="bullet"/>
      <w:lvlText w:val="•"/>
      <w:lvlJc w:val="left"/>
      <w:pPr>
        <w:ind w:left="5663" w:hanging="480"/>
      </w:pPr>
      <w:rPr>
        <w:rFonts w:hint="default"/>
        <w:lang w:val="zh-CN" w:eastAsia="zh-CN" w:bidi="zh-CN"/>
      </w:rPr>
    </w:lvl>
    <w:lvl w:ilvl="7" w:tentative="0">
      <w:start w:val="0"/>
      <w:numFmt w:val="bullet"/>
      <w:lvlText w:val="•"/>
      <w:lvlJc w:val="left"/>
      <w:pPr>
        <w:ind w:left="6554" w:hanging="480"/>
      </w:pPr>
      <w:rPr>
        <w:rFonts w:hint="default"/>
        <w:lang w:val="zh-CN" w:eastAsia="zh-CN" w:bidi="zh-CN"/>
      </w:rPr>
    </w:lvl>
    <w:lvl w:ilvl="8" w:tentative="0">
      <w:start w:val="0"/>
      <w:numFmt w:val="bullet"/>
      <w:lvlText w:val="•"/>
      <w:lvlJc w:val="left"/>
      <w:pPr>
        <w:ind w:left="7444" w:hanging="480"/>
      </w:pPr>
      <w:rPr>
        <w:rFonts w:hint="default"/>
        <w:lang w:val="zh-CN" w:eastAsia="zh-CN" w:bidi="zh-CN"/>
      </w:rPr>
    </w:lvl>
  </w:abstractNum>
  <w:abstractNum w:abstractNumId="1">
    <w:nsid w:val="0053208E"/>
    <w:multiLevelType w:val="multilevel"/>
    <w:tmpl w:val="0053208E"/>
    <w:lvl w:ilvl="0" w:tentative="0">
      <w:start w:val="2"/>
      <w:numFmt w:val="decimal"/>
      <w:lvlText w:val="%1."/>
      <w:lvlJc w:val="left"/>
      <w:pPr>
        <w:ind w:left="12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40" w:hanging="322"/>
      </w:pPr>
      <w:rPr>
        <w:rFonts w:hint="default"/>
        <w:lang w:val="zh-CN" w:eastAsia="zh-CN" w:bidi="zh-CN"/>
      </w:rPr>
    </w:lvl>
    <w:lvl w:ilvl="2" w:tentative="0">
      <w:start w:val="0"/>
      <w:numFmt w:val="bullet"/>
      <w:lvlText w:val="•"/>
      <w:lvlJc w:val="left"/>
      <w:pPr>
        <w:ind w:left="2801" w:hanging="322"/>
      </w:pPr>
      <w:rPr>
        <w:rFonts w:hint="default"/>
        <w:lang w:val="zh-CN" w:eastAsia="zh-CN" w:bidi="zh-CN"/>
      </w:rPr>
    </w:lvl>
    <w:lvl w:ilvl="3" w:tentative="0">
      <w:start w:val="0"/>
      <w:numFmt w:val="bullet"/>
      <w:lvlText w:val="•"/>
      <w:lvlJc w:val="left"/>
      <w:pPr>
        <w:ind w:left="3561" w:hanging="322"/>
      </w:pPr>
      <w:rPr>
        <w:rFonts w:hint="default"/>
        <w:lang w:val="zh-CN" w:eastAsia="zh-CN" w:bidi="zh-CN"/>
      </w:rPr>
    </w:lvl>
    <w:lvl w:ilvl="4" w:tentative="0">
      <w:start w:val="0"/>
      <w:numFmt w:val="bullet"/>
      <w:lvlText w:val="•"/>
      <w:lvlJc w:val="left"/>
      <w:pPr>
        <w:ind w:left="4322" w:hanging="322"/>
      </w:pPr>
      <w:rPr>
        <w:rFonts w:hint="default"/>
        <w:lang w:val="zh-CN" w:eastAsia="zh-CN" w:bidi="zh-CN"/>
      </w:rPr>
    </w:lvl>
    <w:lvl w:ilvl="5" w:tentative="0">
      <w:start w:val="0"/>
      <w:numFmt w:val="bullet"/>
      <w:lvlText w:val="•"/>
      <w:lvlJc w:val="left"/>
      <w:pPr>
        <w:ind w:left="5083" w:hanging="322"/>
      </w:pPr>
      <w:rPr>
        <w:rFonts w:hint="default"/>
        <w:lang w:val="zh-CN" w:eastAsia="zh-CN" w:bidi="zh-CN"/>
      </w:rPr>
    </w:lvl>
    <w:lvl w:ilvl="6" w:tentative="0">
      <w:start w:val="0"/>
      <w:numFmt w:val="bullet"/>
      <w:lvlText w:val="•"/>
      <w:lvlJc w:val="left"/>
      <w:pPr>
        <w:ind w:left="5843" w:hanging="322"/>
      </w:pPr>
      <w:rPr>
        <w:rFonts w:hint="default"/>
        <w:lang w:val="zh-CN" w:eastAsia="zh-CN" w:bidi="zh-CN"/>
      </w:rPr>
    </w:lvl>
    <w:lvl w:ilvl="7" w:tentative="0">
      <w:start w:val="0"/>
      <w:numFmt w:val="bullet"/>
      <w:lvlText w:val="•"/>
      <w:lvlJc w:val="left"/>
      <w:pPr>
        <w:ind w:left="6604" w:hanging="322"/>
      </w:pPr>
      <w:rPr>
        <w:rFonts w:hint="default"/>
        <w:lang w:val="zh-CN" w:eastAsia="zh-CN" w:bidi="zh-CN"/>
      </w:rPr>
    </w:lvl>
    <w:lvl w:ilvl="8" w:tentative="0">
      <w:start w:val="0"/>
      <w:numFmt w:val="bullet"/>
      <w:lvlText w:val="•"/>
      <w:lvlJc w:val="left"/>
      <w:pPr>
        <w:ind w:left="7364" w:hanging="322"/>
      </w:pPr>
      <w:rPr>
        <w:rFonts w:hint="default"/>
        <w:lang w:val="zh-CN" w:eastAsia="zh-CN" w:bidi="zh-CN"/>
      </w:rPr>
    </w:lvl>
  </w:abstractNum>
  <w:abstractNum w:abstractNumId="2">
    <w:nsid w:val="59ADCABA"/>
    <w:multiLevelType w:val="multilevel"/>
    <w:tmpl w:val="59ADCABA"/>
    <w:lvl w:ilvl="0" w:tentative="0">
      <w:start w:val="15"/>
      <w:numFmt w:val="decimal"/>
      <w:lvlText w:val="%1"/>
      <w:lvlJc w:val="left"/>
      <w:pPr>
        <w:ind w:left="320" w:hanging="881"/>
        <w:jc w:val="left"/>
      </w:pPr>
      <w:rPr>
        <w:rFonts w:hint="default"/>
        <w:lang w:val="zh-CN" w:eastAsia="zh-CN" w:bidi="zh-CN"/>
      </w:rPr>
    </w:lvl>
    <w:lvl w:ilvl="1" w:tentative="0">
      <w:start w:val="51"/>
      <w:numFmt w:val="decimal"/>
      <w:lvlText w:val="%1.%2"/>
      <w:lvlJc w:val="left"/>
      <w:pPr>
        <w:ind w:left="320" w:hanging="881"/>
        <w:jc w:val="left"/>
      </w:pPr>
      <w:rPr>
        <w:rFonts w:hint="default" w:ascii="仿宋_GB2312" w:hAnsi="仿宋_GB2312" w:eastAsia="仿宋_GB2312" w:cs="仿宋_GB2312"/>
        <w:spacing w:val="-2"/>
        <w:w w:val="99"/>
        <w:position w:val="1"/>
        <w:sz w:val="32"/>
        <w:szCs w:val="32"/>
        <w:lang w:val="zh-CN" w:eastAsia="zh-CN" w:bidi="zh-CN"/>
      </w:rPr>
    </w:lvl>
    <w:lvl w:ilvl="2" w:tentative="0">
      <w:start w:val="1"/>
      <w:numFmt w:val="decimal"/>
      <w:lvlText w:val="%3."/>
      <w:lvlJc w:val="left"/>
      <w:pPr>
        <w:ind w:left="320" w:hanging="480"/>
        <w:jc w:val="left"/>
      </w:pPr>
      <w:rPr>
        <w:rFonts w:hint="default"/>
        <w:spacing w:val="-2"/>
        <w:w w:val="99"/>
        <w:lang w:val="zh-CN" w:eastAsia="zh-CN" w:bidi="zh-CN"/>
      </w:rPr>
    </w:lvl>
    <w:lvl w:ilvl="3" w:tentative="0">
      <w:start w:val="0"/>
      <w:numFmt w:val="bullet"/>
      <w:lvlText w:val="•"/>
      <w:lvlJc w:val="left"/>
      <w:pPr>
        <w:ind w:left="2991" w:hanging="480"/>
      </w:pPr>
      <w:rPr>
        <w:rFonts w:hint="default"/>
        <w:lang w:val="zh-CN" w:eastAsia="zh-CN" w:bidi="zh-CN"/>
      </w:rPr>
    </w:lvl>
    <w:lvl w:ilvl="4" w:tentative="0">
      <w:start w:val="0"/>
      <w:numFmt w:val="bullet"/>
      <w:lvlText w:val="•"/>
      <w:lvlJc w:val="left"/>
      <w:pPr>
        <w:ind w:left="3882" w:hanging="480"/>
      </w:pPr>
      <w:rPr>
        <w:rFonts w:hint="default"/>
        <w:lang w:val="zh-CN" w:eastAsia="zh-CN" w:bidi="zh-CN"/>
      </w:rPr>
    </w:lvl>
    <w:lvl w:ilvl="5" w:tentative="0">
      <w:start w:val="0"/>
      <w:numFmt w:val="bullet"/>
      <w:lvlText w:val="•"/>
      <w:lvlJc w:val="left"/>
      <w:pPr>
        <w:ind w:left="4773" w:hanging="480"/>
      </w:pPr>
      <w:rPr>
        <w:rFonts w:hint="default"/>
        <w:lang w:val="zh-CN" w:eastAsia="zh-CN" w:bidi="zh-CN"/>
      </w:rPr>
    </w:lvl>
    <w:lvl w:ilvl="6" w:tentative="0">
      <w:start w:val="0"/>
      <w:numFmt w:val="bullet"/>
      <w:lvlText w:val="•"/>
      <w:lvlJc w:val="left"/>
      <w:pPr>
        <w:ind w:left="5663" w:hanging="480"/>
      </w:pPr>
      <w:rPr>
        <w:rFonts w:hint="default"/>
        <w:lang w:val="zh-CN" w:eastAsia="zh-CN" w:bidi="zh-CN"/>
      </w:rPr>
    </w:lvl>
    <w:lvl w:ilvl="7" w:tentative="0">
      <w:start w:val="0"/>
      <w:numFmt w:val="bullet"/>
      <w:lvlText w:val="•"/>
      <w:lvlJc w:val="left"/>
      <w:pPr>
        <w:ind w:left="6554" w:hanging="480"/>
      </w:pPr>
      <w:rPr>
        <w:rFonts w:hint="default"/>
        <w:lang w:val="zh-CN" w:eastAsia="zh-CN" w:bidi="zh-CN"/>
      </w:rPr>
    </w:lvl>
    <w:lvl w:ilvl="8" w:tentative="0">
      <w:start w:val="0"/>
      <w:numFmt w:val="bullet"/>
      <w:lvlText w:val="•"/>
      <w:lvlJc w:val="left"/>
      <w:pPr>
        <w:ind w:left="7444" w:hanging="480"/>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D13118A"/>
    <w:rsid w:val="0F4D5B77"/>
    <w:rsid w:val="16782E4F"/>
    <w:rsid w:val="2BE7543A"/>
    <w:rsid w:val="2E52390A"/>
    <w:rsid w:val="425E7C31"/>
    <w:rsid w:val="43586509"/>
    <w:rsid w:val="43C30342"/>
    <w:rsid w:val="5FA63A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spacing w:before="32"/>
      <w:ind w:left="58"/>
      <w:outlineLvl w:val="1"/>
    </w:pPr>
    <w:rPr>
      <w:rFonts w:ascii="黑体" w:hAnsi="黑体" w:eastAsia="黑体" w:cs="黑体"/>
      <w:sz w:val="48"/>
      <w:szCs w:val="48"/>
      <w:lang w:val="zh-CN" w:eastAsia="zh-CN" w:bidi="zh-CN"/>
    </w:rPr>
  </w:style>
  <w:style w:type="paragraph" w:styleId="3">
    <w:name w:val="heading 2"/>
    <w:basedOn w:val="1"/>
    <w:next w:val="1"/>
    <w:qFormat/>
    <w:uiPriority w:val="1"/>
    <w:pPr>
      <w:ind w:left="960"/>
      <w:outlineLvl w:val="2"/>
    </w:pPr>
    <w:rPr>
      <w:rFonts w:ascii="楷体_GB2312" w:hAnsi="楷体_GB2312" w:eastAsia="楷体_GB2312" w:cs="楷体_GB2312"/>
      <w:b/>
      <w:bCs/>
      <w:sz w:val="32"/>
      <w:szCs w:val="32"/>
      <w:lang w:val="zh-CN" w:eastAsia="zh-CN" w:bidi="zh-CN"/>
    </w:rPr>
  </w:style>
  <w:style w:type="character" w:default="1" w:styleId="6">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320" w:firstLine="640"/>
    </w:pPr>
    <w:rPr>
      <w:rFonts w:ascii="仿宋_GB2312" w:hAnsi="仿宋_GB2312" w:eastAsia="仿宋_GB2312" w:cs="仿宋_GB2312"/>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jpe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2021-06-04T09:53:00Z</dcterms:created>
  <dc:creator>管理者</dc:creator>
  <cp:lastModifiedBy>Administrator</cp:lastModifiedBy>
  <dcterms:modified xsi:type="dcterms:W3CDTF">2021-06-05T09:10:16Z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WPS Office 专业版</vt:lpwstr>
  </property>
  <property fmtid="{D5CDD505-2E9C-101B-9397-08002B2CF9AE}" pid="4" name="LastSaved">
    <vt:filetime>2021-06-04T00:00:00Z</vt:filetime>
  </property>
  <property fmtid="{D5CDD505-2E9C-101B-9397-08002B2CF9AE}" pid="5" name="KSOProductBuildVer">
    <vt:lpwstr>2052-11.1.0.10495</vt:lpwstr>
  </property>
  <property fmtid="{D5CDD505-2E9C-101B-9397-08002B2CF9AE}" pid="6" name="ICV">
    <vt:lpwstr>B5DA456C14C241EAB09DCC386384F257</vt:lpwstr>
  </property>
</Properties>
</file>