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A0A" w:rsidRDefault="00F74A0A">
      <w:pPr>
        <w:pStyle w:val="a7"/>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750EEF">
      <w:pPr>
        <w:jc w:val="center"/>
        <w:rPr>
          <w:rFonts w:ascii="黑体" w:eastAsia="黑体" w:hAnsi="黑体" w:cs="黑体"/>
          <w:sz w:val="52"/>
          <w:szCs w:val="52"/>
        </w:rPr>
      </w:pPr>
      <w:r>
        <w:rPr>
          <w:rFonts w:ascii="黑体" w:eastAsia="黑体" w:hAnsi="黑体" w:cs="黑体" w:hint="eastAsia"/>
          <w:sz w:val="52"/>
          <w:szCs w:val="52"/>
        </w:rPr>
        <w:t>2018年度</w:t>
      </w:r>
    </w:p>
    <w:p w:rsidR="00F74A0A" w:rsidRDefault="00750EEF">
      <w:pPr>
        <w:jc w:val="center"/>
        <w:rPr>
          <w:rFonts w:ascii="黑体" w:eastAsia="黑体" w:hAnsi="黑体" w:cs="黑体"/>
          <w:sz w:val="52"/>
          <w:szCs w:val="52"/>
        </w:rPr>
      </w:pPr>
      <w:r>
        <w:rPr>
          <w:rFonts w:ascii="黑体" w:eastAsia="黑体" w:hAnsi="黑体" w:cs="黑体" w:hint="eastAsia"/>
          <w:sz w:val="52"/>
          <w:szCs w:val="52"/>
        </w:rPr>
        <w:t>西工区邙岭办部门决算</w:t>
      </w:r>
    </w:p>
    <w:p w:rsidR="00F74A0A" w:rsidRDefault="00F74A0A">
      <w:pPr>
        <w:jc w:val="center"/>
        <w:rPr>
          <w:rFonts w:ascii="黑体" w:eastAsia="黑体" w:hAnsi="黑体" w:cs="黑体"/>
          <w:sz w:val="52"/>
          <w:szCs w:val="52"/>
        </w:rPr>
      </w:pPr>
    </w:p>
    <w:p w:rsidR="00F74A0A" w:rsidRDefault="00F74A0A">
      <w:pPr>
        <w:jc w:val="center"/>
        <w:rPr>
          <w:rFonts w:ascii="黑体" w:eastAsia="黑体" w:hAnsi="黑体" w:cs="黑体"/>
          <w:sz w:val="52"/>
          <w:szCs w:val="52"/>
        </w:rPr>
      </w:pPr>
    </w:p>
    <w:p w:rsidR="00F74A0A" w:rsidRDefault="003E774A">
      <w:pPr>
        <w:jc w:val="center"/>
        <w:rPr>
          <w:rFonts w:ascii="黑体" w:eastAsia="黑体" w:hAnsi="黑体" w:cs="黑体"/>
          <w:sz w:val="52"/>
          <w:szCs w:val="52"/>
        </w:rPr>
      </w:pPr>
      <w:r>
        <w:rPr>
          <w:rFonts w:ascii="黑体" w:eastAsia="黑体" w:hAnsi="黑体" w:cs="黑体" w:hint="eastAsia"/>
          <w:sz w:val="52"/>
          <w:szCs w:val="52"/>
        </w:rPr>
        <w:t xml:space="preserve"> </w:t>
      </w:r>
    </w:p>
    <w:p w:rsidR="00F74A0A" w:rsidRDefault="00F74A0A">
      <w:pPr>
        <w:jc w:val="center"/>
        <w:rPr>
          <w:rFonts w:ascii="黑体" w:eastAsia="黑体" w:hAnsi="黑体" w:cs="黑体"/>
          <w:sz w:val="52"/>
          <w:szCs w:val="52"/>
        </w:rPr>
      </w:pPr>
    </w:p>
    <w:p w:rsidR="00F74A0A" w:rsidRDefault="00F74A0A">
      <w:pPr>
        <w:jc w:val="center"/>
        <w:rPr>
          <w:rFonts w:ascii="黑体" w:eastAsia="黑体" w:hAnsi="黑体" w:cs="黑体"/>
          <w:sz w:val="52"/>
          <w:szCs w:val="52"/>
        </w:rPr>
      </w:pPr>
    </w:p>
    <w:p w:rsidR="00F74A0A" w:rsidRDefault="00F74A0A">
      <w:pPr>
        <w:jc w:val="center"/>
        <w:rPr>
          <w:rFonts w:ascii="黑体" w:eastAsia="黑体" w:hAnsi="黑体" w:cs="黑体"/>
          <w:sz w:val="52"/>
          <w:szCs w:val="52"/>
        </w:rPr>
      </w:pPr>
    </w:p>
    <w:p w:rsidR="00F74A0A" w:rsidRDefault="00750EEF">
      <w:pPr>
        <w:jc w:val="center"/>
        <w:rPr>
          <w:rFonts w:ascii="黑体" w:eastAsia="黑体" w:hAnsi="黑体" w:cs="黑体"/>
          <w:sz w:val="32"/>
          <w:szCs w:val="32"/>
        </w:rPr>
        <w:sectPr w:rsidR="00F74A0A">
          <w:type w:val="continuous"/>
          <w:pgSz w:w="11906" w:h="16838"/>
          <w:pgMar w:top="1440" w:right="1531" w:bottom="1440" w:left="1587" w:header="850" w:footer="992" w:gutter="0"/>
          <w:pgNumType w:fmt="numberInDash"/>
          <w:cols w:space="720"/>
          <w:docGrid w:type="lines" w:linePitch="317"/>
        </w:sectPr>
      </w:pPr>
      <w:r>
        <w:rPr>
          <w:rFonts w:ascii="黑体" w:eastAsia="黑体" w:hAnsi="黑体" w:cs="黑体" w:hint="eastAsia"/>
          <w:sz w:val="32"/>
          <w:szCs w:val="32"/>
        </w:rPr>
        <w:t>二〇一九年九月</w:t>
      </w:r>
    </w:p>
    <w:p w:rsidR="00F74A0A" w:rsidRDefault="00750EEF">
      <w:pPr>
        <w:jc w:val="center"/>
        <w:rPr>
          <w:rFonts w:ascii="黑体" w:eastAsia="黑体" w:hAnsi="黑体" w:cs="黑体"/>
          <w:sz w:val="36"/>
          <w:szCs w:val="36"/>
        </w:rPr>
      </w:pPr>
      <w:r>
        <w:rPr>
          <w:rFonts w:ascii="黑体" w:eastAsia="黑体" w:hAnsi="黑体" w:cs="黑体" w:hint="eastAsia"/>
          <w:sz w:val="36"/>
          <w:szCs w:val="36"/>
        </w:rPr>
        <w:lastRenderedPageBreak/>
        <w:t>目　　录</w:t>
      </w:r>
    </w:p>
    <w:p w:rsidR="00F74A0A" w:rsidRDefault="00750EEF">
      <w:pPr>
        <w:rPr>
          <w:rFonts w:ascii="黑体" w:hAnsi="黑体" w:cs="黑体"/>
          <w:sz w:val="32"/>
          <w:szCs w:val="32"/>
        </w:rPr>
      </w:pPr>
      <w:r>
        <w:rPr>
          <w:rFonts w:ascii="黑体" w:eastAsia="黑体" w:hAnsi="黑体" w:cs="黑体" w:hint="eastAsia"/>
          <w:sz w:val="32"/>
          <w:szCs w:val="32"/>
        </w:rPr>
        <w:t>第一部分　　西工区邙岭路办事处单位概况</w:t>
      </w:r>
    </w:p>
    <w:p w:rsidR="00F74A0A" w:rsidRDefault="00750EEF">
      <w:pPr>
        <w:numPr>
          <w:ilvl w:val="0"/>
          <w:numId w:val="1"/>
        </w:numPr>
        <w:ind w:firstLineChars="200" w:firstLine="640"/>
        <w:rPr>
          <w:sz w:val="32"/>
          <w:szCs w:val="32"/>
        </w:rPr>
      </w:pPr>
      <w:r>
        <w:rPr>
          <w:rFonts w:hint="eastAsia"/>
          <w:sz w:val="32"/>
          <w:szCs w:val="32"/>
        </w:rPr>
        <w:t xml:space="preserve">部门职责       </w:t>
      </w:r>
    </w:p>
    <w:p w:rsidR="00F74A0A" w:rsidRDefault="00750EEF">
      <w:pPr>
        <w:numPr>
          <w:ilvl w:val="0"/>
          <w:numId w:val="1"/>
        </w:numPr>
        <w:ind w:firstLineChars="200" w:firstLine="640"/>
        <w:rPr>
          <w:sz w:val="32"/>
          <w:szCs w:val="32"/>
        </w:rPr>
      </w:pPr>
      <w:r>
        <w:rPr>
          <w:rFonts w:hint="eastAsia"/>
          <w:sz w:val="32"/>
          <w:szCs w:val="32"/>
        </w:rPr>
        <w:t>机构设置</w:t>
      </w:r>
    </w:p>
    <w:p w:rsidR="00F74A0A" w:rsidRDefault="00750EEF">
      <w:pPr>
        <w:pStyle w:val="a4"/>
        <w:tabs>
          <w:tab w:val="left" w:pos="3439"/>
        </w:tabs>
        <w:snapToGrid w:val="0"/>
        <w:spacing w:line="360" w:lineRule="auto"/>
        <w:ind w:left="0"/>
        <w:rPr>
          <w:rFonts w:ascii="黑体" w:eastAsia="黑体" w:hAnsi="黑体" w:cs="黑体"/>
        </w:rPr>
      </w:pPr>
      <w:r>
        <w:rPr>
          <w:rFonts w:ascii="黑体" w:eastAsia="黑体" w:hAnsi="黑体" w:cs="黑体" w:hint="eastAsia"/>
        </w:rPr>
        <w:t>第二部分　　西工区邙岭路办事处单位2018年度部门</w:t>
      </w:r>
      <w:r>
        <w:rPr>
          <w:rFonts w:ascii="黑体" w:eastAsia="黑体" w:hAnsi="黑体" w:cs="黑体" w:hint="eastAsia"/>
          <w:spacing w:val="-11"/>
        </w:rPr>
        <w:t>决</w:t>
      </w:r>
      <w:r>
        <w:rPr>
          <w:rFonts w:ascii="黑体" w:eastAsia="黑体" w:hAnsi="黑体" w:cs="黑体" w:hint="eastAsia"/>
        </w:rPr>
        <w:t>算表</w:t>
      </w:r>
    </w:p>
    <w:p w:rsidR="00F74A0A" w:rsidRDefault="00750EEF">
      <w:pPr>
        <w:ind w:firstLineChars="200" w:firstLine="640"/>
        <w:rPr>
          <w:b/>
          <w:bCs/>
          <w:color w:val="FF0000"/>
          <w:sz w:val="32"/>
          <w:szCs w:val="32"/>
        </w:rPr>
      </w:pPr>
      <w:r>
        <w:rPr>
          <w:rFonts w:hint="eastAsia"/>
          <w:sz w:val="32"/>
          <w:szCs w:val="32"/>
        </w:rPr>
        <w:t>一、收入支出决算总表</w:t>
      </w:r>
    </w:p>
    <w:p w:rsidR="00F74A0A" w:rsidRDefault="00750EEF">
      <w:pPr>
        <w:ind w:firstLineChars="200" w:firstLine="640"/>
        <w:rPr>
          <w:sz w:val="32"/>
          <w:szCs w:val="32"/>
        </w:rPr>
      </w:pPr>
      <w:r>
        <w:rPr>
          <w:rFonts w:hint="eastAsia"/>
          <w:sz w:val="32"/>
          <w:szCs w:val="32"/>
        </w:rPr>
        <w:t>二、收入决算表</w:t>
      </w:r>
    </w:p>
    <w:p w:rsidR="00F74A0A" w:rsidRDefault="00750EEF">
      <w:pPr>
        <w:ind w:firstLineChars="200" w:firstLine="640"/>
        <w:rPr>
          <w:sz w:val="32"/>
          <w:szCs w:val="32"/>
        </w:rPr>
      </w:pPr>
      <w:r>
        <w:rPr>
          <w:rFonts w:hint="eastAsia"/>
          <w:sz w:val="32"/>
          <w:szCs w:val="32"/>
        </w:rPr>
        <w:t>三、支出决算表</w:t>
      </w:r>
    </w:p>
    <w:p w:rsidR="00F74A0A" w:rsidRDefault="00750EEF">
      <w:pPr>
        <w:ind w:firstLineChars="200" w:firstLine="640"/>
        <w:rPr>
          <w:sz w:val="32"/>
          <w:szCs w:val="32"/>
        </w:rPr>
      </w:pPr>
      <w:r>
        <w:rPr>
          <w:rFonts w:hint="eastAsia"/>
          <w:sz w:val="32"/>
          <w:szCs w:val="32"/>
        </w:rPr>
        <w:t>四、财政拨款收入支出决算总表</w:t>
      </w:r>
    </w:p>
    <w:p w:rsidR="00F74A0A" w:rsidRDefault="00750EEF">
      <w:pPr>
        <w:ind w:firstLineChars="200" w:firstLine="640"/>
        <w:rPr>
          <w:sz w:val="32"/>
          <w:szCs w:val="32"/>
        </w:rPr>
      </w:pPr>
      <w:r>
        <w:rPr>
          <w:rFonts w:hint="eastAsia"/>
          <w:sz w:val="32"/>
          <w:szCs w:val="32"/>
        </w:rPr>
        <w:t>五、一般公共预算财政拨款支出决算表</w:t>
      </w:r>
    </w:p>
    <w:p w:rsidR="00F74A0A" w:rsidRDefault="00750EEF">
      <w:pPr>
        <w:ind w:firstLineChars="200" w:firstLine="640"/>
        <w:rPr>
          <w:b/>
          <w:bCs/>
          <w:color w:val="FF0000"/>
          <w:sz w:val="32"/>
          <w:szCs w:val="32"/>
        </w:rPr>
      </w:pPr>
      <w:r>
        <w:rPr>
          <w:rFonts w:hint="eastAsia"/>
          <w:sz w:val="32"/>
          <w:szCs w:val="32"/>
        </w:rPr>
        <w:t>六、一般公共预算财政拨款基本支出决算表</w:t>
      </w:r>
    </w:p>
    <w:p w:rsidR="00F74A0A" w:rsidRDefault="00750EEF">
      <w:pPr>
        <w:ind w:firstLineChars="200" w:firstLine="640"/>
        <w:rPr>
          <w:b/>
          <w:bCs/>
          <w:color w:val="FF0000"/>
          <w:sz w:val="32"/>
          <w:szCs w:val="32"/>
        </w:rPr>
      </w:pPr>
      <w:r>
        <w:rPr>
          <w:rFonts w:hint="eastAsia"/>
          <w:sz w:val="32"/>
          <w:szCs w:val="32"/>
        </w:rPr>
        <w:t>七、一般公共预算财政拨款“三公”经费支出决算表</w:t>
      </w:r>
    </w:p>
    <w:p w:rsidR="00F74A0A" w:rsidRDefault="00750EEF">
      <w:pPr>
        <w:ind w:firstLineChars="200" w:firstLine="640"/>
        <w:rPr>
          <w:b/>
          <w:bCs/>
          <w:color w:val="FF0000"/>
          <w:sz w:val="32"/>
          <w:szCs w:val="32"/>
        </w:rPr>
      </w:pPr>
      <w:r>
        <w:rPr>
          <w:rFonts w:hint="eastAsia"/>
          <w:sz w:val="32"/>
          <w:szCs w:val="32"/>
        </w:rPr>
        <w:t>八、政府性基金预算财政拨款收入支出决算表</w:t>
      </w:r>
    </w:p>
    <w:p w:rsidR="00F74A0A" w:rsidRDefault="00750EEF">
      <w:pPr>
        <w:rPr>
          <w:rFonts w:ascii="黑体" w:eastAsia="黑体" w:hAnsi="黑体" w:cs="黑体"/>
          <w:sz w:val="32"/>
          <w:szCs w:val="32"/>
        </w:rPr>
      </w:pPr>
      <w:r>
        <w:rPr>
          <w:rFonts w:ascii="黑体" w:eastAsia="黑体" w:hAnsi="黑体" w:cs="黑体" w:hint="eastAsia"/>
          <w:sz w:val="32"/>
          <w:szCs w:val="32"/>
        </w:rPr>
        <w:t>第三部分　　西工区邙岭路办事处单位2018年度部门</w:t>
      </w:r>
      <w:r>
        <w:rPr>
          <w:rFonts w:ascii="黑体" w:eastAsia="黑体" w:hAnsi="黑体" w:cs="黑体" w:hint="eastAsia"/>
          <w:spacing w:val="-11"/>
          <w:sz w:val="32"/>
          <w:szCs w:val="32"/>
        </w:rPr>
        <w:t>决</w:t>
      </w:r>
      <w:r>
        <w:rPr>
          <w:rFonts w:ascii="黑体" w:eastAsia="黑体" w:hAnsi="黑体" w:cs="黑体" w:hint="eastAsia"/>
          <w:sz w:val="32"/>
          <w:szCs w:val="32"/>
        </w:rPr>
        <w:t>算情况说明</w:t>
      </w:r>
    </w:p>
    <w:p w:rsidR="00F74A0A" w:rsidRDefault="00750EEF">
      <w:pPr>
        <w:ind w:firstLineChars="200" w:firstLine="640"/>
        <w:rPr>
          <w:sz w:val="32"/>
          <w:szCs w:val="32"/>
        </w:rPr>
      </w:pPr>
      <w:r>
        <w:rPr>
          <w:rFonts w:hint="eastAsia"/>
          <w:sz w:val="32"/>
          <w:szCs w:val="32"/>
        </w:rPr>
        <w:t>一、收入支出决算总体情况说明</w:t>
      </w:r>
    </w:p>
    <w:p w:rsidR="00F74A0A" w:rsidRDefault="00750EEF">
      <w:pPr>
        <w:ind w:firstLineChars="200" w:firstLine="640"/>
        <w:rPr>
          <w:sz w:val="32"/>
          <w:szCs w:val="32"/>
        </w:rPr>
      </w:pPr>
      <w:r>
        <w:rPr>
          <w:rFonts w:hint="eastAsia"/>
          <w:sz w:val="32"/>
          <w:szCs w:val="32"/>
        </w:rPr>
        <w:t>二、收入决算情况说明</w:t>
      </w:r>
    </w:p>
    <w:p w:rsidR="00F74A0A" w:rsidRDefault="00750EEF">
      <w:pPr>
        <w:ind w:firstLineChars="200" w:firstLine="640"/>
        <w:rPr>
          <w:sz w:val="32"/>
          <w:szCs w:val="32"/>
        </w:rPr>
      </w:pPr>
      <w:r>
        <w:rPr>
          <w:rFonts w:hint="eastAsia"/>
          <w:sz w:val="32"/>
          <w:szCs w:val="32"/>
        </w:rPr>
        <w:t>三、支出决算情况说明</w:t>
      </w:r>
    </w:p>
    <w:p w:rsidR="00F74A0A" w:rsidRDefault="00750EEF">
      <w:pPr>
        <w:ind w:firstLineChars="200" w:firstLine="640"/>
        <w:rPr>
          <w:sz w:val="32"/>
          <w:szCs w:val="32"/>
        </w:rPr>
      </w:pPr>
      <w:r>
        <w:rPr>
          <w:rFonts w:hint="eastAsia"/>
          <w:sz w:val="32"/>
          <w:szCs w:val="32"/>
        </w:rPr>
        <w:t>四、财政拨款收入支出决算总体情况说明</w:t>
      </w:r>
    </w:p>
    <w:p w:rsidR="00F74A0A" w:rsidRDefault="00750EEF">
      <w:pPr>
        <w:ind w:firstLineChars="200" w:firstLine="640"/>
        <w:rPr>
          <w:b/>
          <w:bCs/>
          <w:color w:val="FF0000"/>
          <w:sz w:val="32"/>
          <w:szCs w:val="32"/>
        </w:rPr>
      </w:pPr>
      <w:r>
        <w:rPr>
          <w:rFonts w:hint="eastAsia"/>
          <w:sz w:val="32"/>
          <w:szCs w:val="32"/>
        </w:rPr>
        <w:t>五、一般公共预算财政拨款支出决算情况说明</w:t>
      </w:r>
    </w:p>
    <w:p w:rsidR="00F74A0A" w:rsidRDefault="00750EEF">
      <w:pPr>
        <w:ind w:firstLineChars="200" w:firstLine="640"/>
        <w:rPr>
          <w:sz w:val="32"/>
          <w:szCs w:val="32"/>
        </w:rPr>
      </w:pPr>
      <w:r>
        <w:rPr>
          <w:rFonts w:hint="eastAsia"/>
          <w:sz w:val="32"/>
          <w:szCs w:val="32"/>
        </w:rPr>
        <w:t>六、一般公共预算财政拨款基本支出决算情况说明</w:t>
      </w:r>
    </w:p>
    <w:p w:rsidR="00F74A0A" w:rsidRDefault="00750EEF">
      <w:pPr>
        <w:ind w:firstLineChars="200" w:firstLine="640"/>
        <w:rPr>
          <w:sz w:val="32"/>
          <w:szCs w:val="32"/>
        </w:rPr>
      </w:pPr>
      <w:r>
        <w:rPr>
          <w:rFonts w:hint="eastAsia"/>
          <w:sz w:val="32"/>
          <w:szCs w:val="32"/>
        </w:rPr>
        <w:t>七、一般公共预算财政拨款“三公”经费支出决算情况说</w:t>
      </w:r>
      <w:r>
        <w:rPr>
          <w:rFonts w:hint="eastAsia"/>
          <w:sz w:val="32"/>
          <w:szCs w:val="32"/>
        </w:rPr>
        <w:lastRenderedPageBreak/>
        <w:t>明</w:t>
      </w:r>
    </w:p>
    <w:p w:rsidR="00F74A0A" w:rsidRDefault="00750EEF">
      <w:pPr>
        <w:ind w:firstLineChars="200" w:firstLine="640"/>
        <w:rPr>
          <w:b/>
          <w:bCs/>
          <w:color w:val="FF0000"/>
          <w:sz w:val="32"/>
          <w:szCs w:val="32"/>
        </w:rPr>
      </w:pPr>
      <w:r>
        <w:rPr>
          <w:rFonts w:hint="eastAsia"/>
          <w:sz w:val="32"/>
          <w:szCs w:val="32"/>
        </w:rPr>
        <w:t>八、预算绩效情况说明</w:t>
      </w:r>
    </w:p>
    <w:p w:rsidR="00F74A0A" w:rsidRDefault="00750EEF">
      <w:pPr>
        <w:ind w:firstLineChars="200" w:firstLine="640"/>
        <w:rPr>
          <w:sz w:val="32"/>
          <w:szCs w:val="32"/>
        </w:rPr>
      </w:pPr>
      <w:r>
        <w:rPr>
          <w:rFonts w:hint="eastAsia"/>
          <w:sz w:val="32"/>
          <w:szCs w:val="32"/>
        </w:rPr>
        <w:t>九、政府性基金预算财政拨款支出决算情况说明</w:t>
      </w:r>
    </w:p>
    <w:p w:rsidR="00F74A0A" w:rsidRDefault="00750EEF">
      <w:pPr>
        <w:ind w:firstLineChars="200" w:firstLine="640"/>
        <w:rPr>
          <w:sz w:val="32"/>
          <w:szCs w:val="32"/>
        </w:rPr>
      </w:pPr>
      <w:r>
        <w:rPr>
          <w:rFonts w:hint="eastAsia"/>
          <w:sz w:val="32"/>
          <w:szCs w:val="32"/>
        </w:rPr>
        <w:t>十、机关运行经费支出情况说明</w:t>
      </w:r>
    </w:p>
    <w:p w:rsidR="00F74A0A" w:rsidRDefault="00750EEF">
      <w:pPr>
        <w:ind w:firstLineChars="200" w:firstLine="640"/>
        <w:rPr>
          <w:sz w:val="32"/>
          <w:szCs w:val="32"/>
        </w:rPr>
      </w:pPr>
      <w:r>
        <w:rPr>
          <w:rFonts w:hint="eastAsia"/>
          <w:sz w:val="32"/>
          <w:szCs w:val="32"/>
        </w:rPr>
        <w:t>十一、政府采购支出情况说明</w:t>
      </w:r>
    </w:p>
    <w:p w:rsidR="00F74A0A" w:rsidRDefault="00750EEF">
      <w:pPr>
        <w:ind w:firstLineChars="200" w:firstLine="640"/>
        <w:rPr>
          <w:sz w:val="32"/>
          <w:szCs w:val="32"/>
        </w:rPr>
      </w:pPr>
      <w:r>
        <w:rPr>
          <w:rFonts w:hint="eastAsia"/>
          <w:sz w:val="32"/>
          <w:szCs w:val="32"/>
        </w:rPr>
        <w:t>十二、国有资产占用情况说明</w:t>
      </w:r>
    </w:p>
    <w:p w:rsidR="00F74A0A" w:rsidRDefault="00750EEF">
      <w:pPr>
        <w:rPr>
          <w:rFonts w:ascii="黑体" w:eastAsia="黑体" w:hAnsi="黑体" w:cs="黑体"/>
          <w:sz w:val="32"/>
          <w:szCs w:val="32"/>
        </w:rPr>
      </w:pPr>
      <w:r>
        <w:rPr>
          <w:rFonts w:ascii="黑体" w:eastAsia="黑体" w:hAnsi="黑体" w:cs="黑体" w:hint="eastAsia"/>
          <w:sz w:val="32"/>
          <w:szCs w:val="32"/>
        </w:rPr>
        <w:t>第四部分　　名词解释</w:t>
      </w:r>
    </w:p>
    <w:p w:rsidR="00F74A0A" w:rsidRDefault="00F74A0A">
      <w:pPr>
        <w:ind w:firstLineChars="200" w:firstLine="640"/>
        <w:rPr>
          <w:sz w:val="32"/>
          <w:szCs w:val="32"/>
        </w:rPr>
      </w:pPr>
    </w:p>
    <w:p w:rsidR="00F74A0A" w:rsidRDefault="00F74A0A">
      <w:pPr>
        <w:rPr>
          <w:rFonts w:ascii="黑体" w:eastAsia="黑体" w:hAnsi="黑体" w:cs="黑体"/>
          <w:sz w:val="32"/>
          <w:szCs w:val="32"/>
        </w:rPr>
        <w:sectPr w:rsidR="00F74A0A">
          <w:footerReference w:type="even" r:id="rId8"/>
          <w:footerReference w:type="default" r:id="rId9"/>
          <w:pgSz w:w="11906" w:h="16838"/>
          <w:pgMar w:top="1440" w:right="1531" w:bottom="1440" w:left="1587" w:header="850" w:footer="992" w:gutter="0"/>
          <w:pgNumType w:fmt="numberInDash" w:start="1"/>
          <w:cols w:space="720"/>
          <w:docGrid w:type="lines" w:linePitch="317"/>
        </w:sect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750EEF">
      <w:pPr>
        <w:widowControl/>
        <w:jc w:val="center"/>
        <w:outlineLvl w:val="0"/>
        <w:rPr>
          <w:rFonts w:ascii="黑体" w:eastAsia="黑体"/>
          <w:sz w:val="28"/>
          <w:szCs w:val="28"/>
        </w:rPr>
      </w:pPr>
      <w:r>
        <w:rPr>
          <w:rFonts w:ascii="黑体" w:eastAsia="黑体" w:hAnsi="黑体" w:cs="黑体" w:hint="eastAsia"/>
          <w:sz w:val="48"/>
          <w:szCs w:val="48"/>
        </w:rPr>
        <w:t>第一部分  西工区邙岭路办事处单位概况</w:t>
      </w:r>
    </w:p>
    <w:p w:rsidR="00F74A0A" w:rsidRDefault="00F74A0A">
      <w:pPr>
        <w:widowControl/>
        <w:rPr>
          <w:rFonts w:ascii="黑体" w:eastAsia="黑体"/>
          <w:sz w:val="28"/>
          <w:szCs w:val="28"/>
        </w:rPr>
      </w:pPr>
    </w:p>
    <w:p w:rsidR="00F74A0A" w:rsidRDefault="00F74A0A">
      <w:pPr>
        <w:widowControl/>
        <w:rPr>
          <w:rFonts w:ascii="黑体" w:eastAsia="黑体"/>
          <w:sz w:val="28"/>
          <w:szCs w:val="28"/>
        </w:rPr>
        <w:sectPr w:rsidR="00F74A0A">
          <w:pgSz w:w="11906" w:h="16838"/>
          <w:pgMar w:top="1440" w:right="1800" w:bottom="1440" w:left="1800" w:header="720" w:footer="720" w:gutter="0"/>
          <w:pgNumType w:fmt="numberInDash"/>
          <w:cols w:space="720"/>
          <w:docGrid w:type="lines" w:linePitch="312"/>
        </w:sectPr>
      </w:pPr>
    </w:p>
    <w:p w:rsidR="00F74A0A" w:rsidRDefault="00750EEF">
      <w:pPr>
        <w:widowControl/>
        <w:ind w:firstLineChars="200" w:firstLine="640"/>
        <w:outlineLvl w:val="1"/>
        <w:rPr>
          <w:b/>
          <w:bCs/>
          <w:color w:val="FF0000"/>
          <w:sz w:val="32"/>
          <w:szCs w:val="32"/>
        </w:rPr>
      </w:pPr>
      <w:r>
        <w:rPr>
          <w:rFonts w:ascii="黑体" w:eastAsia="黑体" w:hAnsi="黑体" w:cs="黑体" w:hint="eastAsia"/>
          <w:sz w:val="32"/>
          <w:szCs w:val="32"/>
        </w:rPr>
        <w:lastRenderedPageBreak/>
        <w:t>一、部门</w:t>
      </w:r>
      <w:r>
        <w:rPr>
          <w:rFonts w:ascii="黑体" w:eastAsia="黑体" w:hAnsi="黑体" w:cs="黑体" w:hint="eastAsia"/>
          <w:bCs/>
          <w:sz w:val="32"/>
          <w:szCs w:val="32"/>
        </w:rPr>
        <w:t>职责</w:t>
      </w:r>
    </w:p>
    <w:p w:rsidR="00F74A0A" w:rsidRDefault="00750EEF">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1、认真贯彻落实党的路线、方针、政策及法律法规， 搞好基层党组织建设和党的教育管理工作。2、制订社区经济规划，发展社区经济，完成上级下达的各项经济目标。3、 按照上级要求，配合有关部门，搞好辖区内常住人口及流动人口计划生育管理工作。4、负责辖区内市容环境卫生“四自一包”管理、督促检查工作。5、负责辖区内城区建设与管理、绿化、防汛、综合治理、救灾工作。6、负责辖区内初级卫生保健、防疫、灭鼠除害工作。7、负责辖区的国防教育、民兵训练、兵役登记及人民防空工作。8、负责辖区内精神文明建设、居民委员会建设优抚双拥工作，抓好社区建设，落实低保人员待遇。9、做好群众来信来访、文化及群团工作。10、完成区委、区政府交办的临时工作。</w:t>
      </w:r>
    </w:p>
    <w:p w:rsidR="00F74A0A" w:rsidRDefault="00750EEF">
      <w:pPr>
        <w:widowControl/>
        <w:ind w:firstLineChars="200" w:firstLine="640"/>
        <w:outlineLvl w:val="1"/>
        <w:rPr>
          <w:rFonts w:ascii="黑体" w:eastAsia="黑体" w:hAnsi="黑体" w:cs="黑体"/>
          <w:sz w:val="32"/>
          <w:szCs w:val="32"/>
        </w:rPr>
      </w:pPr>
      <w:r>
        <w:rPr>
          <w:rFonts w:ascii="黑体" w:eastAsia="黑体" w:hAnsi="黑体" w:cs="黑体" w:hint="eastAsia"/>
          <w:sz w:val="32"/>
          <w:szCs w:val="32"/>
        </w:rPr>
        <w:t>二、机构设置</w:t>
      </w:r>
    </w:p>
    <w:p w:rsidR="00F74A0A" w:rsidRDefault="00750EEF">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邙岭路办事处机关内设五个职能科室，即：党政办公室、负责协助党政工作处理日常事务、行政后勤管理等工作。社区工作办公室、负责辖区内社区建设与管理等。社会治安综合治理办公室、负责辖区内平安建设、社区治安综合治理等工作。经济工作办公室、负责服务驻区企业、优化投资环境等工作。城市管理办公室，负责辖区内生态环境保护及改造项目建设等工作。</w:t>
      </w:r>
    </w:p>
    <w:p w:rsidR="00F74A0A" w:rsidRDefault="00750EEF">
      <w:pPr>
        <w:widowControl/>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从决算单位构成看邙岭路办事处为本级预算单位，本决算为本级汇总决算。</w:t>
      </w: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F74A0A">
      <w:pPr>
        <w:jc w:val="center"/>
        <w:outlineLvl w:val="0"/>
        <w:rPr>
          <w:rFonts w:ascii="黑体" w:eastAsia="黑体" w:hAnsi="黑体" w:cs="黑体"/>
          <w:sz w:val="48"/>
          <w:szCs w:val="48"/>
        </w:rPr>
      </w:pPr>
    </w:p>
    <w:p w:rsidR="00F74A0A" w:rsidRDefault="00750EEF">
      <w:pPr>
        <w:jc w:val="center"/>
        <w:outlineLvl w:val="0"/>
        <w:rPr>
          <w:rFonts w:ascii="黑体" w:eastAsia="黑体" w:hAnsi="黑体" w:cs="黑体"/>
          <w:sz w:val="48"/>
          <w:szCs w:val="48"/>
        </w:rPr>
      </w:pPr>
      <w:r>
        <w:rPr>
          <w:rFonts w:ascii="黑体" w:eastAsia="黑体" w:hAnsi="黑体" w:cs="黑体" w:hint="eastAsia"/>
          <w:sz w:val="48"/>
          <w:szCs w:val="48"/>
        </w:rPr>
        <w:t>第二部分  2018年度部门决算表</w:t>
      </w:r>
    </w:p>
    <w:p w:rsidR="00F74A0A" w:rsidRDefault="00F74A0A">
      <w:pPr>
        <w:widowControl/>
        <w:rPr>
          <w:rFonts w:ascii="黑体" w:eastAsia="黑体"/>
          <w:sz w:val="28"/>
          <w:szCs w:val="28"/>
        </w:rPr>
        <w:sectPr w:rsidR="00F74A0A">
          <w:pgSz w:w="11906" w:h="16838"/>
          <w:pgMar w:top="1440" w:right="1800" w:bottom="1440" w:left="1800" w:header="720" w:footer="720" w:gutter="0"/>
          <w:pgNumType w:fmt="numberInDash"/>
          <w:cols w:space="720"/>
          <w:docGrid w:type="lines" w:linePitch="312"/>
        </w:sectPr>
      </w:pPr>
    </w:p>
    <w:p w:rsidR="00F74A0A" w:rsidRDefault="00F74A0A">
      <w:pPr>
        <w:spacing w:line="360" w:lineRule="auto"/>
        <w:jc w:val="both"/>
        <w:rPr>
          <w:rFonts w:ascii="黑体" w:eastAsia="黑体"/>
        </w:rPr>
      </w:pPr>
    </w:p>
    <w:p w:rsidR="00F74A0A" w:rsidRDefault="00F74A0A">
      <w:pPr>
        <w:pStyle w:val="a4"/>
        <w:spacing w:before="12"/>
        <w:ind w:left="0"/>
        <w:rPr>
          <w:sz w:val="26"/>
        </w:rPr>
      </w:pPr>
      <w:bookmarkStart w:id="0" w:name="第二部分"/>
      <w:bookmarkEnd w:id="0"/>
    </w:p>
    <w:p w:rsidR="00F74A0A" w:rsidRDefault="00750EEF">
      <w:pPr>
        <w:rPr>
          <w:sz w:val="26"/>
        </w:rPr>
        <w:sectPr w:rsidR="00F74A0A">
          <w:pgSz w:w="11910" w:h="16840"/>
          <w:pgMar w:top="1440" w:right="740" w:bottom="280" w:left="760" w:header="720" w:footer="720" w:gutter="0"/>
          <w:cols w:space="720"/>
        </w:sectPr>
      </w:pPr>
      <w:r>
        <w:rPr>
          <w:noProof/>
          <w:lang w:val="en-US" w:bidi="ar-SA"/>
        </w:rPr>
        <w:drawing>
          <wp:anchor distT="0" distB="0" distL="0" distR="0" simplePos="0" relativeHeight="251655680" behindDoc="0" locked="0" layoutInCell="1" allowOverlap="1">
            <wp:simplePos x="0" y="0"/>
            <wp:positionH relativeFrom="page">
              <wp:posOffset>1123950</wp:posOffset>
            </wp:positionH>
            <wp:positionV relativeFrom="paragraph">
              <wp:posOffset>3175</wp:posOffset>
            </wp:positionV>
            <wp:extent cx="5257800" cy="36804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0" cstate="print"/>
                    <a:stretch>
                      <a:fillRect/>
                    </a:stretch>
                  </pic:blipFill>
                  <pic:spPr>
                    <a:xfrm>
                      <a:off x="0" y="0"/>
                      <a:ext cx="5257800" cy="3680460"/>
                    </a:xfrm>
                    <a:prstGeom prst="rect">
                      <a:avLst/>
                    </a:prstGeom>
                  </pic:spPr>
                </pic:pic>
              </a:graphicData>
            </a:graphic>
          </wp:anchor>
        </w:drawing>
      </w:r>
    </w:p>
    <w:p w:rsidR="00F74A0A" w:rsidRDefault="00750EEF">
      <w:pPr>
        <w:pStyle w:val="a4"/>
        <w:rPr>
          <w:sz w:val="20"/>
        </w:rPr>
      </w:pPr>
      <w:r>
        <w:rPr>
          <w:noProof/>
          <w:lang w:val="en-US" w:bidi="ar-SA"/>
        </w:rPr>
        <w:lastRenderedPageBreak/>
        <w:drawing>
          <wp:anchor distT="0" distB="0" distL="0" distR="0" simplePos="0" relativeHeight="251656704" behindDoc="0" locked="0" layoutInCell="1" allowOverlap="1">
            <wp:simplePos x="0" y="0"/>
            <wp:positionH relativeFrom="page">
              <wp:posOffset>1143000</wp:posOffset>
            </wp:positionH>
            <wp:positionV relativeFrom="paragraph">
              <wp:posOffset>4432935</wp:posOffset>
            </wp:positionV>
            <wp:extent cx="5188585" cy="14097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1" cstate="print"/>
                    <a:stretch>
                      <a:fillRect/>
                    </a:stretch>
                  </pic:blipFill>
                  <pic:spPr>
                    <a:xfrm>
                      <a:off x="0" y="0"/>
                      <a:ext cx="5188895" cy="1409700"/>
                    </a:xfrm>
                    <a:prstGeom prst="rect">
                      <a:avLst/>
                    </a:prstGeom>
                  </pic:spPr>
                </pic:pic>
              </a:graphicData>
            </a:graphic>
          </wp:anchor>
        </w:drawing>
      </w:r>
      <w:r>
        <w:rPr>
          <w:noProof/>
          <w:sz w:val="20"/>
          <w:lang w:val="en-US" w:bidi="ar-SA"/>
        </w:rPr>
        <w:drawing>
          <wp:inline distT="0" distB="0" distL="0" distR="0">
            <wp:extent cx="5328285" cy="440118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2" cstate="print"/>
                    <a:stretch>
                      <a:fillRect/>
                    </a:stretch>
                  </pic:blipFill>
                  <pic:spPr>
                    <a:xfrm>
                      <a:off x="0" y="0"/>
                      <a:ext cx="5328390" cy="4401312"/>
                    </a:xfrm>
                    <a:prstGeom prst="rect">
                      <a:avLst/>
                    </a:prstGeom>
                  </pic:spPr>
                </pic:pic>
              </a:graphicData>
            </a:graphic>
          </wp:inline>
        </w:drawing>
      </w:r>
    </w:p>
    <w:p w:rsidR="00F74A0A" w:rsidRDefault="00F74A0A">
      <w:pPr>
        <w:rPr>
          <w:sz w:val="20"/>
        </w:rPr>
        <w:sectPr w:rsidR="00F74A0A">
          <w:pgSz w:w="11910" w:h="16840"/>
          <w:pgMar w:top="1420" w:right="740" w:bottom="280" w:left="760" w:header="720" w:footer="720" w:gutter="0"/>
          <w:cols w:space="720"/>
        </w:sectPr>
      </w:pPr>
    </w:p>
    <w:p w:rsidR="00F74A0A" w:rsidRDefault="00750EEF">
      <w:pPr>
        <w:pStyle w:val="a4"/>
        <w:rPr>
          <w:sz w:val="20"/>
        </w:rPr>
      </w:pPr>
      <w:r>
        <w:rPr>
          <w:noProof/>
          <w:sz w:val="20"/>
          <w:lang w:val="en-US" w:bidi="ar-SA"/>
        </w:rPr>
        <w:lastRenderedPageBreak/>
        <w:drawing>
          <wp:inline distT="0" distB="0" distL="0" distR="0">
            <wp:extent cx="5179060" cy="35661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3" cstate="print"/>
                    <a:stretch>
                      <a:fillRect/>
                    </a:stretch>
                  </pic:blipFill>
                  <pic:spPr>
                    <a:xfrm>
                      <a:off x="0" y="0"/>
                      <a:ext cx="5179259" cy="3566160"/>
                    </a:xfrm>
                    <a:prstGeom prst="rect">
                      <a:avLst/>
                    </a:prstGeom>
                  </pic:spPr>
                </pic:pic>
              </a:graphicData>
            </a:graphic>
          </wp:inline>
        </w:drawing>
      </w:r>
    </w:p>
    <w:p w:rsidR="00F74A0A" w:rsidRDefault="00F74A0A">
      <w:pPr>
        <w:pStyle w:val="a4"/>
        <w:ind w:left="0"/>
        <w:rPr>
          <w:sz w:val="20"/>
        </w:rPr>
      </w:pPr>
    </w:p>
    <w:p w:rsidR="00F74A0A" w:rsidRDefault="00750EEF">
      <w:pPr>
        <w:pStyle w:val="a4"/>
        <w:spacing w:before="5"/>
        <w:ind w:left="0"/>
        <w:rPr>
          <w:sz w:val="24"/>
        </w:rPr>
      </w:pPr>
      <w:r>
        <w:rPr>
          <w:noProof/>
          <w:lang w:val="en-US" w:bidi="ar-SA"/>
        </w:rPr>
        <w:drawing>
          <wp:anchor distT="0" distB="0" distL="0" distR="0" simplePos="0" relativeHeight="251657728" behindDoc="0" locked="0" layoutInCell="1" allowOverlap="1">
            <wp:simplePos x="0" y="0"/>
            <wp:positionH relativeFrom="page">
              <wp:posOffset>1143000</wp:posOffset>
            </wp:positionH>
            <wp:positionV relativeFrom="paragraph">
              <wp:posOffset>223520</wp:posOffset>
            </wp:positionV>
            <wp:extent cx="5228590" cy="279336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4" cstate="print"/>
                    <a:stretch>
                      <a:fillRect/>
                    </a:stretch>
                  </pic:blipFill>
                  <pic:spPr>
                    <a:xfrm>
                      <a:off x="0" y="0"/>
                      <a:ext cx="5228727" cy="2793492"/>
                    </a:xfrm>
                    <a:prstGeom prst="rect">
                      <a:avLst/>
                    </a:prstGeom>
                  </pic:spPr>
                </pic:pic>
              </a:graphicData>
            </a:graphic>
          </wp:anchor>
        </w:drawing>
      </w:r>
    </w:p>
    <w:p w:rsidR="00F74A0A" w:rsidRDefault="00F74A0A">
      <w:pPr>
        <w:rPr>
          <w:sz w:val="24"/>
        </w:rPr>
        <w:sectPr w:rsidR="00F74A0A">
          <w:pgSz w:w="11910" w:h="16840"/>
          <w:pgMar w:top="1560" w:right="740" w:bottom="280" w:left="760" w:header="720" w:footer="720" w:gutter="0"/>
          <w:cols w:space="720"/>
        </w:sectPr>
      </w:pPr>
    </w:p>
    <w:p w:rsidR="00F74A0A" w:rsidRDefault="00750EEF">
      <w:pPr>
        <w:pStyle w:val="a4"/>
        <w:rPr>
          <w:sz w:val="20"/>
        </w:rPr>
      </w:pPr>
      <w:r>
        <w:rPr>
          <w:noProof/>
          <w:sz w:val="20"/>
          <w:lang w:val="en-US" w:bidi="ar-SA"/>
        </w:rPr>
        <w:lastRenderedPageBreak/>
        <w:drawing>
          <wp:inline distT="0" distB="0" distL="0" distR="0">
            <wp:extent cx="5248910" cy="371221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5" cstate="print"/>
                    <a:stretch>
                      <a:fillRect/>
                    </a:stretch>
                  </pic:blipFill>
                  <pic:spPr>
                    <a:xfrm>
                      <a:off x="0" y="0"/>
                      <a:ext cx="5249442" cy="3712464"/>
                    </a:xfrm>
                    <a:prstGeom prst="rect">
                      <a:avLst/>
                    </a:prstGeom>
                  </pic:spPr>
                </pic:pic>
              </a:graphicData>
            </a:graphic>
          </wp:inline>
        </w:drawing>
      </w:r>
    </w:p>
    <w:p w:rsidR="00F74A0A" w:rsidRDefault="00F74A0A">
      <w:pPr>
        <w:rPr>
          <w:sz w:val="20"/>
        </w:rPr>
        <w:sectPr w:rsidR="00F74A0A">
          <w:pgSz w:w="11910" w:h="16840"/>
          <w:pgMar w:top="1460" w:right="740" w:bottom="280" w:left="760" w:header="720" w:footer="720" w:gutter="0"/>
          <w:cols w:space="720"/>
        </w:sectPr>
      </w:pPr>
    </w:p>
    <w:p w:rsidR="00F74A0A" w:rsidRDefault="00750EEF">
      <w:pPr>
        <w:pStyle w:val="a4"/>
        <w:ind w:left="111"/>
        <w:rPr>
          <w:sz w:val="20"/>
        </w:rPr>
      </w:pPr>
      <w:r>
        <w:rPr>
          <w:noProof/>
          <w:sz w:val="20"/>
          <w:lang w:val="en-US" w:bidi="ar-SA"/>
        </w:rPr>
        <w:lastRenderedPageBreak/>
        <w:drawing>
          <wp:inline distT="0" distB="0" distL="0" distR="0">
            <wp:extent cx="6381115" cy="493776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6" cstate="print"/>
                    <a:stretch>
                      <a:fillRect/>
                    </a:stretch>
                  </pic:blipFill>
                  <pic:spPr>
                    <a:xfrm>
                      <a:off x="0" y="0"/>
                      <a:ext cx="6381197" cy="4937760"/>
                    </a:xfrm>
                    <a:prstGeom prst="rect">
                      <a:avLst/>
                    </a:prstGeom>
                  </pic:spPr>
                </pic:pic>
              </a:graphicData>
            </a:graphic>
          </wp:inline>
        </w:drawing>
      </w:r>
    </w:p>
    <w:p w:rsidR="00F74A0A" w:rsidRDefault="00F74A0A">
      <w:pPr>
        <w:rPr>
          <w:sz w:val="20"/>
        </w:rPr>
        <w:sectPr w:rsidR="00F74A0A">
          <w:pgSz w:w="11910" w:h="16840"/>
          <w:pgMar w:top="1500" w:right="740" w:bottom="280" w:left="760" w:header="720" w:footer="720" w:gutter="0"/>
          <w:cols w:space="720"/>
        </w:sectPr>
      </w:pPr>
    </w:p>
    <w:p w:rsidR="00F74A0A" w:rsidRDefault="00F74A0A">
      <w:pPr>
        <w:pStyle w:val="a4"/>
        <w:ind w:left="0"/>
        <w:rPr>
          <w:rFonts w:ascii="Times New Roman"/>
          <w:sz w:val="20"/>
        </w:rPr>
      </w:pPr>
    </w:p>
    <w:p w:rsidR="00F74A0A" w:rsidRDefault="00F74A0A">
      <w:pPr>
        <w:pStyle w:val="a4"/>
        <w:spacing w:before="3"/>
        <w:ind w:left="0"/>
        <w:rPr>
          <w:rFonts w:ascii="Times New Roman"/>
          <w:sz w:val="25"/>
        </w:rPr>
      </w:pPr>
    </w:p>
    <w:p w:rsidR="00F74A0A" w:rsidRDefault="00750EEF">
      <w:pPr>
        <w:pStyle w:val="a4"/>
        <w:ind w:left="274"/>
        <w:rPr>
          <w:rFonts w:ascii="Times New Roman"/>
          <w:sz w:val="20"/>
        </w:rPr>
      </w:pPr>
      <w:r>
        <w:rPr>
          <w:rFonts w:ascii="Times New Roman"/>
          <w:noProof/>
          <w:sz w:val="20"/>
          <w:lang w:val="en-US" w:bidi="ar-SA"/>
        </w:rPr>
        <w:drawing>
          <wp:inline distT="0" distB="0" distL="0" distR="0">
            <wp:extent cx="6275070" cy="450786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7" cstate="print"/>
                    <a:stretch>
                      <a:fillRect/>
                    </a:stretch>
                  </pic:blipFill>
                  <pic:spPr>
                    <a:xfrm>
                      <a:off x="0" y="0"/>
                      <a:ext cx="6275234" cy="4507992"/>
                    </a:xfrm>
                    <a:prstGeom prst="rect">
                      <a:avLst/>
                    </a:prstGeom>
                  </pic:spPr>
                </pic:pic>
              </a:graphicData>
            </a:graphic>
          </wp:inline>
        </w:drawing>
      </w:r>
    </w:p>
    <w:p w:rsidR="00F74A0A" w:rsidRDefault="00F74A0A">
      <w:pPr>
        <w:rPr>
          <w:rFonts w:ascii="Times New Roman"/>
          <w:sz w:val="20"/>
        </w:rPr>
        <w:sectPr w:rsidR="00F74A0A">
          <w:pgSz w:w="11910" w:h="16840"/>
          <w:pgMar w:top="1580" w:right="740" w:bottom="280" w:left="760" w:header="720" w:footer="720" w:gutter="0"/>
          <w:cols w:space="720"/>
        </w:sectPr>
      </w:pPr>
    </w:p>
    <w:p w:rsidR="00F74A0A" w:rsidRDefault="00F74A0A">
      <w:pPr>
        <w:pStyle w:val="a4"/>
        <w:spacing w:before="8"/>
        <w:ind w:left="0"/>
        <w:rPr>
          <w:rFonts w:ascii="Times New Roman"/>
          <w:sz w:val="16"/>
        </w:rPr>
      </w:pPr>
    </w:p>
    <w:p w:rsidR="00F74A0A" w:rsidRDefault="00750EEF">
      <w:pPr>
        <w:pStyle w:val="a4"/>
        <w:ind w:left="544"/>
        <w:jc w:val="center"/>
        <w:rPr>
          <w:rFonts w:ascii="Times New Roman"/>
          <w:sz w:val="20"/>
        </w:rPr>
      </w:pPr>
      <w:r>
        <w:rPr>
          <w:rFonts w:ascii="Times New Roman"/>
          <w:noProof/>
          <w:sz w:val="20"/>
          <w:lang w:val="en-US" w:bidi="ar-SA"/>
        </w:rPr>
        <w:drawing>
          <wp:inline distT="0" distB="0" distL="0" distR="0">
            <wp:extent cx="4895215" cy="3618865"/>
            <wp:effectExtent l="0" t="0" r="635" b="63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8" cstate="print"/>
                    <a:stretch>
                      <a:fillRect/>
                    </a:stretch>
                  </pic:blipFill>
                  <pic:spPr>
                    <a:xfrm>
                      <a:off x="0" y="0"/>
                      <a:ext cx="4895215" cy="3618865"/>
                    </a:xfrm>
                    <a:prstGeom prst="rect">
                      <a:avLst/>
                    </a:prstGeom>
                  </pic:spPr>
                </pic:pic>
              </a:graphicData>
            </a:graphic>
          </wp:inline>
        </w:drawing>
      </w:r>
    </w:p>
    <w:p w:rsidR="00F74A0A" w:rsidRDefault="00F74A0A">
      <w:pPr>
        <w:pStyle w:val="a4"/>
        <w:ind w:left="0"/>
        <w:rPr>
          <w:rFonts w:ascii="Times New Roman"/>
          <w:sz w:val="20"/>
        </w:rPr>
      </w:pPr>
    </w:p>
    <w:p w:rsidR="00F74A0A" w:rsidRDefault="00F74A0A">
      <w:pPr>
        <w:pStyle w:val="a4"/>
        <w:ind w:left="0"/>
        <w:rPr>
          <w:rFonts w:ascii="Times New Roman"/>
          <w:sz w:val="20"/>
        </w:rPr>
      </w:pPr>
    </w:p>
    <w:p w:rsidR="00F74A0A" w:rsidRDefault="00F74A0A">
      <w:pPr>
        <w:pStyle w:val="a4"/>
        <w:ind w:left="0"/>
        <w:rPr>
          <w:rFonts w:ascii="Times New Roman"/>
          <w:sz w:val="20"/>
        </w:rPr>
      </w:pPr>
    </w:p>
    <w:p w:rsidR="00F74A0A" w:rsidRDefault="00F74A0A">
      <w:pPr>
        <w:pStyle w:val="a4"/>
        <w:ind w:left="0"/>
        <w:rPr>
          <w:rFonts w:ascii="Times New Roman"/>
          <w:sz w:val="20"/>
        </w:rPr>
      </w:pPr>
    </w:p>
    <w:p w:rsidR="00F74A0A" w:rsidRDefault="00F74A0A">
      <w:pPr>
        <w:pStyle w:val="a4"/>
        <w:ind w:left="0"/>
        <w:rPr>
          <w:rFonts w:ascii="Times New Roman"/>
          <w:sz w:val="20"/>
        </w:rPr>
      </w:pPr>
    </w:p>
    <w:p w:rsidR="00F74A0A" w:rsidRDefault="00750EEF">
      <w:pPr>
        <w:pStyle w:val="a4"/>
        <w:spacing w:before="9"/>
        <w:ind w:left="0"/>
        <w:rPr>
          <w:rFonts w:ascii="Times New Roman"/>
          <w:sz w:val="22"/>
        </w:rPr>
      </w:pPr>
      <w:r>
        <w:rPr>
          <w:noProof/>
          <w:lang w:val="en-US" w:bidi="ar-SA"/>
        </w:rPr>
        <w:drawing>
          <wp:anchor distT="0" distB="0" distL="0" distR="0" simplePos="0" relativeHeight="251658752" behindDoc="0" locked="0" layoutInCell="1" allowOverlap="1">
            <wp:simplePos x="0" y="0"/>
            <wp:positionH relativeFrom="page">
              <wp:posOffset>1143000</wp:posOffset>
            </wp:positionH>
            <wp:positionV relativeFrom="paragraph">
              <wp:posOffset>191135</wp:posOffset>
            </wp:positionV>
            <wp:extent cx="5132705" cy="104267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9" cstate="print"/>
                    <a:stretch>
                      <a:fillRect/>
                    </a:stretch>
                  </pic:blipFill>
                  <pic:spPr>
                    <a:xfrm>
                      <a:off x="0" y="0"/>
                      <a:ext cx="5132438" cy="1042415"/>
                    </a:xfrm>
                    <a:prstGeom prst="rect">
                      <a:avLst/>
                    </a:prstGeom>
                  </pic:spPr>
                </pic:pic>
              </a:graphicData>
            </a:graphic>
          </wp:anchor>
        </w:drawing>
      </w:r>
    </w:p>
    <w:p w:rsidR="00F74A0A" w:rsidRDefault="00750EEF">
      <w:pPr>
        <w:pStyle w:val="a4"/>
        <w:ind w:left="0"/>
        <w:rPr>
          <w:rFonts w:ascii="Times New Roman"/>
          <w:sz w:val="20"/>
        </w:rPr>
      </w:pPr>
      <w:r>
        <w:rPr>
          <w:rFonts w:ascii="Times New Roman"/>
          <w:noProof/>
          <w:sz w:val="20"/>
          <w:lang w:val="en-US" w:bidi="ar-SA"/>
        </w:rPr>
        <w:lastRenderedPageBreak/>
        <w:drawing>
          <wp:anchor distT="0" distB="0" distL="0" distR="0" simplePos="0" relativeHeight="251659776" behindDoc="0" locked="0" layoutInCell="1" allowOverlap="1">
            <wp:simplePos x="0" y="0"/>
            <wp:positionH relativeFrom="column">
              <wp:posOffset>13335</wp:posOffset>
            </wp:positionH>
            <wp:positionV relativeFrom="paragraph">
              <wp:posOffset>56515</wp:posOffset>
            </wp:positionV>
            <wp:extent cx="5156835" cy="3730625"/>
            <wp:effectExtent l="0" t="0" r="5715" b="3175"/>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0" cstate="print"/>
                    <a:stretch>
                      <a:fillRect/>
                    </a:stretch>
                  </pic:blipFill>
                  <pic:spPr>
                    <a:xfrm>
                      <a:off x="0" y="0"/>
                      <a:ext cx="5157172" cy="3730752"/>
                    </a:xfrm>
                    <a:prstGeom prst="rect">
                      <a:avLst/>
                    </a:prstGeom>
                  </pic:spPr>
                </pic:pic>
              </a:graphicData>
            </a:graphic>
          </wp:anchor>
        </w:drawing>
      </w:r>
    </w:p>
    <w:p w:rsidR="00F74A0A" w:rsidRDefault="00750EEF">
      <w:pPr>
        <w:rPr>
          <w:rFonts w:eastAsia="仿宋_GB2312"/>
        </w:rPr>
      </w:pPr>
      <w:r>
        <w:rPr>
          <w:rFonts w:ascii="仿宋_GB2312" w:eastAsia="仿宋_GB2312" w:hAnsi="仿宋_GB2312" w:cs="仿宋_GB2312" w:hint="eastAsia"/>
          <w:sz w:val="32"/>
          <w:szCs w:val="32"/>
        </w:rPr>
        <w:t>说明：我部门没有政府性基金收入，也没有使用政府性基金安排的支出，故本表无数据。</w:t>
      </w:r>
    </w:p>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F74A0A">
      <w:pPr>
        <w:widowControl/>
        <w:rPr>
          <w:rFonts w:ascii="黑体" w:eastAsia="黑体"/>
          <w:sz w:val="28"/>
          <w:szCs w:val="28"/>
        </w:rPr>
      </w:pPr>
    </w:p>
    <w:p w:rsidR="00F74A0A" w:rsidRDefault="00750EEF">
      <w:pPr>
        <w:jc w:val="center"/>
        <w:outlineLvl w:val="0"/>
        <w:rPr>
          <w:rFonts w:ascii="黑体" w:eastAsia="黑体" w:hAnsi="黑体" w:cs="黑体"/>
          <w:sz w:val="48"/>
          <w:szCs w:val="48"/>
        </w:rPr>
        <w:sectPr w:rsidR="00F74A0A">
          <w:pgSz w:w="11906" w:h="16838"/>
          <w:pgMar w:top="1440" w:right="1800" w:bottom="1440" w:left="1800" w:header="720" w:footer="720" w:gutter="0"/>
          <w:pgNumType w:fmt="numberInDash"/>
          <w:cols w:space="720"/>
          <w:docGrid w:type="lines" w:linePitch="312"/>
        </w:sectPr>
      </w:pPr>
      <w:r>
        <w:rPr>
          <w:rFonts w:ascii="黑体" w:eastAsia="黑体" w:hAnsi="黑体" w:cs="黑体" w:hint="eastAsia"/>
          <w:sz w:val="48"/>
          <w:szCs w:val="48"/>
        </w:rPr>
        <w:t>第三部分  2018年度部门决算情况说明</w:t>
      </w:r>
    </w:p>
    <w:p w:rsidR="00F74A0A" w:rsidRDefault="00750EEF" w:rsidP="00750EEF">
      <w:pPr>
        <w:widowControl/>
        <w:spacing w:line="60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lastRenderedPageBreak/>
        <w:t>一、收入支出决算总体情况说明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年度收、支总计为 1280.89 万元。与 2017 年相比，收、支各增加330.52万元，增加34.78</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，主要原因：财政拨款收入增加、社会保障和就业支出增加。</w:t>
      </w:r>
    </w:p>
    <w:p w:rsidR="00F74A0A" w:rsidRDefault="00750EEF" w:rsidP="00750EEF">
      <w:pPr>
        <w:widowControl/>
        <w:spacing w:line="600" w:lineRule="exact"/>
        <w:ind w:firstLineChars="200" w:firstLine="640"/>
        <w:outlineLvl w:val="1"/>
        <w:rPr>
          <w:b/>
          <w:bCs/>
          <w:color w:val="FF0000"/>
          <w:sz w:val="32"/>
          <w:szCs w:val="32"/>
        </w:rPr>
      </w:pPr>
      <w:r>
        <w:rPr>
          <w:rFonts w:ascii="黑体" w:eastAsia="黑体" w:hAnsi="黑体" w:cs="黑体" w:hint="eastAsia"/>
          <w:sz w:val="32"/>
          <w:szCs w:val="32"/>
        </w:rPr>
        <w:t>二、收入决算情况说明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年度收入合计 622.32 万元，其中：财政拨款收622.32万元，占100</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w:t>
      </w:r>
    </w:p>
    <w:p w:rsidR="00F74A0A" w:rsidRDefault="00750EEF" w:rsidP="00750EEF">
      <w:pPr>
        <w:widowControl/>
        <w:spacing w:line="600" w:lineRule="exact"/>
        <w:ind w:firstLineChars="200" w:firstLine="640"/>
        <w:outlineLvl w:val="1"/>
        <w:rPr>
          <w:b/>
          <w:bCs/>
          <w:color w:val="FF0000"/>
          <w:sz w:val="32"/>
          <w:szCs w:val="32"/>
        </w:rPr>
      </w:pPr>
      <w:r>
        <w:rPr>
          <w:rFonts w:ascii="黑体" w:eastAsia="黑体" w:hAnsi="黑体" w:cs="黑体" w:hint="eastAsia"/>
          <w:sz w:val="32"/>
          <w:szCs w:val="32"/>
        </w:rPr>
        <w:t>三、支出决算情况说明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年度支出合计 658.57 万元，其中：基本支出 528.14万元，占80.19</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；项目支出130.43万元，占19.81</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w:t>
      </w:r>
    </w:p>
    <w:p w:rsidR="00F74A0A" w:rsidRDefault="00750EEF" w:rsidP="00750EEF">
      <w:pPr>
        <w:widowControl/>
        <w:spacing w:line="600" w:lineRule="exact"/>
        <w:ind w:firstLineChars="200" w:firstLine="640"/>
        <w:outlineLvl w:val="1"/>
        <w:rPr>
          <w:b/>
          <w:bCs/>
          <w:color w:val="FF0000"/>
          <w:sz w:val="32"/>
          <w:szCs w:val="32"/>
        </w:rPr>
      </w:pPr>
      <w:r>
        <w:rPr>
          <w:rFonts w:ascii="黑体" w:eastAsia="黑体" w:hAnsi="黑体" w:cs="黑体" w:hint="eastAsia"/>
          <w:sz w:val="32"/>
          <w:szCs w:val="32"/>
        </w:rPr>
        <w:t>四、财政拨款收入支出决算总体情况说明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年度财政拨款收支总计 1280.89 万元，与 2017 年度相比，财政拨款收、支总计增加330.52万元，34.7</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1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。主要原因：财政拨款收入增加、社会保障和就业支出增加。</w:t>
      </w:r>
    </w:p>
    <w:p w:rsidR="00F74A0A" w:rsidRDefault="00750EEF" w:rsidP="00750EEF">
      <w:pPr>
        <w:widowControl/>
        <w:spacing w:line="600" w:lineRule="exact"/>
        <w:ind w:firstLineChars="200" w:firstLine="640"/>
        <w:outlineLvl w:val="1"/>
        <w:rPr>
          <w:b/>
          <w:bCs/>
          <w:color w:val="FF0000"/>
          <w:sz w:val="32"/>
          <w:szCs w:val="32"/>
        </w:rPr>
      </w:pPr>
      <w:r>
        <w:rPr>
          <w:rFonts w:ascii="黑体" w:eastAsia="黑体" w:hAnsi="黑体" w:cs="黑体" w:hint="eastAsia"/>
          <w:sz w:val="32"/>
          <w:szCs w:val="32"/>
        </w:rPr>
        <w:t>五、一般公共预算财政拨款支出决算情况说明</w:t>
      </w:r>
    </w:p>
    <w:p w:rsidR="00F74A0A" w:rsidRDefault="00750EEF" w:rsidP="00750EEF">
      <w:pPr>
        <w:widowControl/>
        <w:spacing w:line="600" w:lineRule="exact"/>
        <w:ind w:firstLineChars="200" w:firstLine="643"/>
        <w:rPr>
          <w:b/>
          <w:bCs/>
          <w:color w:val="FF0000"/>
          <w:sz w:val="32"/>
          <w:szCs w:val="32"/>
        </w:rPr>
      </w:pPr>
      <w:r>
        <w:rPr>
          <w:rFonts w:ascii="楷体_GB2312" w:eastAsia="楷体_GB2312" w:hAnsi="楷体_GB2312" w:cs="楷体_GB2312" w:hint="eastAsia"/>
          <w:b/>
          <w:bCs/>
          <w:sz w:val="32"/>
          <w:szCs w:val="32"/>
        </w:rPr>
        <w:t>（一）总体情况。</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年一般公共预算财政拨款支出 658.57 万元，占支出合计的100</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。与2017年相比，一般公共预算财政拨款支出增加191.68万元，增加29</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1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。变动的主要原因：社会保障和就业支出增加。</w:t>
      </w:r>
    </w:p>
    <w:p w:rsidR="00F74A0A" w:rsidRDefault="00750EEF" w:rsidP="00750EEF">
      <w:pPr>
        <w:widowControl/>
        <w:spacing w:line="600" w:lineRule="exact"/>
        <w:ind w:firstLineChars="200" w:firstLine="643"/>
        <w:rPr>
          <w:b/>
          <w:bCs/>
          <w:color w:val="FF0000"/>
          <w:sz w:val="32"/>
          <w:szCs w:val="32"/>
        </w:rPr>
      </w:pPr>
      <w:r>
        <w:rPr>
          <w:rFonts w:ascii="楷体_GB2312" w:eastAsia="楷体_GB2312" w:hAnsi="楷体_GB2312" w:cs="楷体_GB2312" w:hint="eastAsia"/>
          <w:b/>
          <w:bCs/>
          <w:sz w:val="32"/>
          <w:szCs w:val="32"/>
        </w:rPr>
        <w:t>（二）结构情况。</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年度一般公共预算财政拨款支出 658.57 万元，主要用于以下几个方面：一般公共服务（类）支出8.26万元，占1</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1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，文化体育与传媒（类）支出6.28万元，占1</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1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，社会保障和就业（类）支</w:t>
      </w:r>
      <w:r w:rsidRPr="00750EEF">
        <w:rPr>
          <w:rFonts w:ascii="仿宋_GB2312" w:eastAsia="仿宋_GB2312" w:hAnsi="仿宋" w:cs="仿宋" w:hint="eastAsia"/>
          <w:b w:val="0"/>
          <w:bCs w:val="0"/>
        </w:rPr>
        <w:lastRenderedPageBreak/>
        <w:t>出17.29万元，占33</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，医疗卫生与计划生育（类）支出11.2万元，占2</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，城乡社区（类）支出389.36万元，占60</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，住房保障（类）支出15.63万元，占3</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w:t>
      </w:r>
    </w:p>
    <w:p w:rsidR="00F74A0A" w:rsidRDefault="00750EEF" w:rsidP="00750EEF">
      <w:pPr>
        <w:widowControl/>
        <w:spacing w:line="600" w:lineRule="exact"/>
        <w:ind w:firstLineChars="200" w:firstLine="643"/>
        <w:rPr>
          <w:b/>
          <w:bCs/>
          <w:color w:val="FF0000"/>
          <w:sz w:val="32"/>
          <w:szCs w:val="32"/>
        </w:rPr>
      </w:pPr>
      <w:r>
        <w:rPr>
          <w:rFonts w:ascii="楷体_GB2312" w:eastAsia="楷体_GB2312" w:hAnsi="楷体_GB2312" w:cs="楷体_GB2312" w:hint="eastAsia"/>
          <w:b/>
          <w:bCs/>
          <w:sz w:val="32"/>
          <w:szCs w:val="32"/>
        </w:rPr>
        <w:t>（三）具体情况。</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bookmarkStart w:id="1" w:name="第三部分"/>
      <w:bookmarkEnd w:id="1"/>
      <w:r w:rsidRPr="00750EEF">
        <w:rPr>
          <w:rFonts w:ascii="仿宋_GB2312" w:eastAsia="仿宋_GB2312" w:hAnsi="仿宋" w:cs="仿宋" w:hint="eastAsia"/>
          <w:b w:val="0"/>
          <w:bCs w:val="0"/>
        </w:rPr>
        <w:t>2018 年度一般公共预算财政拨款支出年初预算1005.59 万元，支出决算为 658.57 万元，完成年初预算的65.5</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2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。其中：</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w:t>
      </w:r>
      <w:r w:rsidRPr="00750EEF">
        <w:rPr>
          <w:rFonts w:ascii="仿宋_GB2312" w:eastAsia="仿宋_GB2312" w:hAnsi="仿宋" w:cs="仿宋" w:hint="eastAsia"/>
          <w:bCs w:val="0"/>
        </w:rPr>
        <w:t>一般公共服务支出（类）人大事务（款）一般行政管理事务（项）</w:t>
      </w:r>
      <w:r w:rsidRPr="00750EEF">
        <w:rPr>
          <w:rFonts w:ascii="仿宋_GB2312" w:eastAsia="仿宋_GB2312" w:hAnsi="仿宋" w:cs="仿宋" w:hint="eastAsia"/>
          <w:b w:val="0"/>
          <w:bCs w:val="0"/>
        </w:rPr>
        <w:t>年初预算为1万元，支出决算为0.49万元，完成年初预算的49%，决算数与年初预算数存在差异的主要原因是：行政管理事务支出减少。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2.</w:t>
      </w:r>
      <w:r w:rsidRPr="00750EEF">
        <w:rPr>
          <w:rFonts w:ascii="仿宋_GB2312" w:eastAsia="仿宋_GB2312" w:hAnsi="仿宋" w:cs="仿宋" w:hint="eastAsia"/>
          <w:bCs w:val="0"/>
        </w:rPr>
        <w:t>一般公共服务支出（类）政府办公厅（室）及相关机构事务（款）信访事务（项）</w:t>
      </w:r>
      <w:r w:rsidRPr="00750EEF">
        <w:rPr>
          <w:rFonts w:ascii="仿宋_GB2312" w:eastAsia="仿宋_GB2312" w:hAnsi="仿宋" w:cs="仿宋" w:hint="eastAsia"/>
          <w:b w:val="0"/>
          <w:bCs w:val="0"/>
        </w:rPr>
        <w:t>年初预算为3.5万元，支出决算为3万元，完成年初预算的86%，决算数与年初预算数存在差异的主要原因是：信访事务支出减少。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3.</w:t>
      </w:r>
      <w:r w:rsidRPr="00750EEF">
        <w:rPr>
          <w:rFonts w:ascii="仿宋_GB2312" w:eastAsia="仿宋_GB2312" w:hAnsi="仿宋" w:cs="仿宋" w:hint="eastAsia"/>
          <w:bCs w:val="0"/>
        </w:rPr>
        <w:t>一般公共服务支出（类）统计信息事务（款）其他统计信息事务支出（项）</w:t>
      </w:r>
      <w:r w:rsidRPr="00750EEF">
        <w:rPr>
          <w:rFonts w:ascii="仿宋_GB2312" w:eastAsia="仿宋_GB2312" w:hAnsi="仿宋" w:cs="仿宋" w:hint="eastAsia"/>
          <w:b w:val="0"/>
          <w:bCs w:val="0"/>
        </w:rPr>
        <w:t>年初预算为4万元，支出决算为3.48万元，完成年初预算的87%，决算数与年初预算数存在差异的主要原因是：统计信息事务支出减少。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4.</w:t>
      </w:r>
      <w:r w:rsidRPr="00750EEF">
        <w:rPr>
          <w:rFonts w:ascii="仿宋_GB2312" w:eastAsia="仿宋_GB2312" w:hAnsi="仿宋" w:cs="仿宋" w:hint="eastAsia"/>
          <w:bCs w:val="0"/>
        </w:rPr>
        <w:t>一般公共服务支出（类）纪检监察事务（款）其他纪检监察事务支出（项）</w:t>
      </w:r>
      <w:r w:rsidRPr="00750EEF">
        <w:rPr>
          <w:rFonts w:ascii="仿宋_GB2312" w:eastAsia="仿宋_GB2312" w:hAnsi="仿宋" w:cs="仿宋" w:hint="eastAsia"/>
          <w:b w:val="0"/>
          <w:bCs w:val="0"/>
        </w:rPr>
        <w:t>年初预算为1万元，支出决算为0.63万元，完成年初预算的87%，决算数与年初预算数存在差异的主要原因是：纪检监察事务支出减少。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5.</w:t>
      </w:r>
      <w:r w:rsidRPr="00750EEF">
        <w:rPr>
          <w:rFonts w:ascii="仿宋_GB2312" w:eastAsia="仿宋_GB2312" w:hAnsi="仿宋" w:cs="仿宋" w:hint="eastAsia"/>
          <w:bCs w:val="0"/>
        </w:rPr>
        <w:t>一般公共服务支出（类）党委办公厅（室）及相关机构事务</w:t>
      </w:r>
      <w:r w:rsidRPr="00750EEF">
        <w:rPr>
          <w:rFonts w:ascii="仿宋_GB2312" w:eastAsia="仿宋_GB2312" w:hAnsi="仿宋" w:cs="仿宋" w:hint="eastAsia"/>
          <w:bCs w:val="0"/>
        </w:rPr>
        <w:lastRenderedPageBreak/>
        <w:t>（款）其他党委办公厅（室）及相关机构事务支出（项）</w:t>
      </w:r>
      <w:r w:rsidRPr="00750EEF">
        <w:rPr>
          <w:rFonts w:ascii="仿宋_GB2312" w:eastAsia="仿宋_GB2312" w:hAnsi="仿宋" w:cs="仿宋" w:hint="eastAsia"/>
          <w:b w:val="0"/>
          <w:bCs w:val="0"/>
        </w:rPr>
        <w:t>年初预算为0.56万元，支出决算为0.08万元，完成年初预算的14</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，决算数与年初预算数存在差异的主要原因是：机关事务支出减少。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6.</w:t>
      </w:r>
      <w:r w:rsidRPr="00750EEF">
        <w:rPr>
          <w:rFonts w:ascii="仿宋_GB2312" w:eastAsia="仿宋_GB2312" w:hAnsi="仿宋" w:cs="仿宋" w:hint="eastAsia"/>
          <w:bCs w:val="0"/>
        </w:rPr>
        <w:t>一般公共服务支出（类）其他共产党事务支出（款）其他共产党事务支出（项）</w:t>
      </w:r>
      <w:r w:rsidRPr="00750EEF">
        <w:rPr>
          <w:rFonts w:ascii="仿宋_GB2312" w:eastAsia="仿宋_GB2312" w:hAnsi="仿宋" w:cs="仿宋" w:hint="eastAsia"/>
          <w:b w:val="0"/>
          <w:bCs w:val="0"/>
        </w:rPr>
        <w:t>年初预算为1.5万元，支出决算为0.59万元，完成年初预算数的39%，</w:t>
      </w:r>
      <w:bookmarkStart w:id="2" w:name="_GoBack"/>
      <w:bookmarkEnd w:id="2"/>
      <w:r w:rsidRPr="00750EEF">
        <w:rPr>
          <w:rFonts w:ascii="仿宋_GB2312" w:eastAsia="仿宋_GB2312" w:hAnsi="仿宋" w:cs="仿宋" w:hint="eastAsia"/>
          <w:b w:val="0"/>
          <w:bCs w:val="0"/>
        </w:rPr>
        <w:t>决算数与年初预算数存在差异的主要原因是：党政事务支出减少。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sidRPr="00750EEF">
        <w:rPr>
          <w:rFonts w:ascii="仿宋_GB2312" w:eastAsia="仿宋_GB2312" w:hAnsi="仿宋" w:cs="仿宋" w:hint="eastAsia"/>
          <w:bCs w:val="0"/>
        </w:rPr>
        <w:t>7.文化体育与传媒支出（类）文化（款）其他文化支出（项）</w:t>
      </w:r>
      <w:r w:rsidRPr="00750EEF">
        <w:rPr>
          <w:rFonts w:ascii="仿宋_GB2312" w:eastAsia="仿宋_GB2312" w:hAnsi="仿宋" w:cs="仿宋" w:hint="eastAsia"/>
          <w:b w:val="0"/>
          <w:bCs w:val="0"/>
        </w:rPr>
        <w:t>年初预算为 5 万元，支出决算为 6.28 万元，完成年初预算的120</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3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。决算数与年初预算数存在差异的主要原因是：文化支出增加。</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Pr>
          <w:rFonts w:ascii="仿宋_GB2312" w:eastAsia="仿宋_GB2312" w:hAnsi="仿宋" w:cs="仿宋" w:hint="eastAsia"/>
          <w:b w:val="0"/>
          <w:bCs w:val="0"/>
        </w:rPr>
        <w:t>8.</w:t>
      </w:r>
      <w:r w:rsidRPr="00750EEF">
        <w:rPr>
          <w:rFonts w:ascii="仿宋_GB2312" w:eastAsia="仿宋_GB2312" w:hAnsi="仿宋" w:cs="仿宋" w:hint="eastAsia"/>
          <w:bCs w:val="0"/>
        </w:rPr>
        <w:t>社会保障和就业支出（类）民政管理事务（款）老龄事务（项）</w:t>
      </w:r>
      <w:r w:rsidRPr="00750EEF">
        <w:rPr>
          <w:rFonts w:ascii="仿宋_GB2312" w:eastAsia="仿宋_GB2312" w:hAnsi="仿宋" w:cs="仿宋" w:hint="eastAsia"/>
          <w:b w:val="0"/>
          <w:bCs w:val="0"/>
        </w:rPr>
        <w:t>，年初预算为0.5万元，支出决算为0.38万元，完成年初预算的76</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。决算数与年初预算数存在差异的主要原因是：老龄事务支出减少。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9.</w:t>
      </w:r>
      <w:r w:rsidRPr="00750EEF">
        <w:rPr>
          <w:rFonts w:ascii="仿宋_GB2312" w:eastAsia="仿宋_GB2312" w:hAnsi="仿宋" w:cs="仿宋" w:hint="eastAsia"/>
          <w:bCs w:val="0"/>
        </w:rPr>
        <w:t>社会保障和就业支出（类）民政管理事务（款）基层政权和社区建设（项）</w:t>
      </w:r>
      <w:r w:rsidRPr="00750EEF">
        <w:rPr>
          <w:rFonts w:ascii="仿宋_GB2312" w:eastAsia="仿宋_GB2312" w:hAnsi="仿宋" w:cs="仿宋" w:hint="eastAsia"/>
          <w:b w:val="0"/>
          <w:bCs w:val="0"/>
        </w:rPr>
        <w:t>年初预算为120 万元，支出决算为 123.73万元，完成年初预算的103</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。决算数与年初预算数存在差异的主要原因是：社区工作人员支出增加。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10．</w:t>
      </w:r>
      <w:r w:rsidRPr="00750EEF">
        <w:rPr>
          <w:rFonts w:ascii="仿宋_GB2312" w:eastAsia="仿宋_GB2312" w:hAnsi="仿宋" w:cs="仿宋" w:hint="eastAsia"/>
          <w:bCs w:val="0"/>
        </w:rPr>
        <w:t>社会保障和就业支出（类）行政事业单位离退休（款）机关事业单位基本养老保险缴费支出（项）</w:t>
      </w:r>
      <w:r w:rsidRPr="00750EEF">
        <w:rPr>
          <w:rFonts w:ascii="仿宋_GB2312" w:eastAsia="仿宋_GB2312" w:hAnsi="仿宋" w:cs="仿宋" w:hint="eastAsia"/>
          <w:b w:val="0"/>
          <w:bCs w:val="0"/>
        </w:rPr>
        <w:t>。年初预算为20万元，支出决算为 22.63万元，完成年初预算113的</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。决算数与年初预算数存在差异的主要原因是：养老保险支出增加。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11.</w:t>
      </w:r>
      <w:r w:rsidRPr="00750EEF">
        <w:rPr>
          <w:rFonts w:ascii="仿宋_GB2312" w:eastAsia="仿宋_GB2312" w:hAnsi="仿宋" w:cs="仿宋" w:hint="eastAsia"/>
          <w:bCs w:val="0"/>
        </w:rPr>
        <w:t>社会保障和就业支出（类）行政事业单位离退休（款）机</w:t>
      </w:r>
      <w:r w:rsidRPr="00750EEF">
        <w:rPr>
          <w:rFonts w:ascii="仿宋_GB2312" w:eastAsia="仿宋_GB2312" w:hAnsi="仿宋" w:cs="仿宋" w:hint="eastAsia"/>
          <w:bCs w:val="0"/>
        </w:rPr>
        <w:lastRenderedPageBreak/>
        <w:t>关事业单位职业年金缴费支出（项）</w:t>
      </w:r>
      <w:r w:rsidRPr="00750EEF">
        <w:rPr>
          <w:rFonts w:ascii="仿宋_GB2312" w:eastAsia="仿宋_GB2312" w:hAnsi="仿宋" w:cs="仿宋" w:hint="eastAsia"/>
          <w:b w:val="0"/>
          <w:bCs w:val="0"/>
        </w:rPr>
        <w:t>年初预算为5万元，支出决算为5.64 万元，完成年初预算的113</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。决算数与年初预算数存在差异的主要原因是：职业年金支出增加。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12.</w:t>
      </w:r>
      <w:r w:rsidRPr="00750EEF">
        <w:rPr>
          <w:rFonts w:ascii="仿宋_GB2312" w:eastAsia="仿宋_GB2312" w:hAnsi="仿宋" w:cs="仿宋" w:hint="eastAsia"/>
          <w:bCs w:val="0"/>
        </w:rPr>
        <w:t>社会保障和就业支出（类）行政事业单位离退休（款）其他行政事业单位离退休支出（项）</w:t>
      </w:r>
      <w:r w:rsidRPr="00750EEF">
        <w:rPr>
          <w:rFonts w:ascii="仿宋_GB2312" w:eastAsia="仿宋_GB2312" w:hAnsi="仿宋" w:cs="仿宋" w:hint="eastAsia"/>
          <w:b w:val="0"/>
          <w:bCs w:val="0"/>
        </w:rPr>
        <w:t>年初预算为5.48万元，支出决算为 10.51万元，完成年初预算的192</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。决算数与年初预算数存在差异的主要原因是：离退休人员支出增加。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13.</w:t>
      </w:r>
      <w:r w:rsidRPr="00750EEF">
        <w:rPr>
          <w:rFonts w:ascii="仿宋_GB2312" w:eastAsia="仿宋_GB2312" w:hAnsi="仿宋" w:cs="仿宋" w:hint="eastAsia"/>
          <w:bCs w:val="0"/>
        </w:rPr>
        <w:t>社会保障和就业支出（类）就业补助（款）其他就业补助支出（项）</w:t>
      </w:r>
      <w:r w:rsidRPr="00750EEF">
        <w:rPr>
          <w:rFonts w:ascii="仿宋_GB2312" w:eastAsia="仿宋_GB2312" w:hAnsi="仿宋" w:cs="仿宋" w:hint="eastAsia"/>
          <w:b w:val="0"/>
          <w:bCs w:val="0"/>
        </w:rPr>
        <w:t>年初预算为27万元，支出决算为 45.86万元，完成年初预算的170</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。决算数与年初预算数存在差异的主要原因是：社区工作经费支出增加。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14.</w:t>
      </w:r>
      <w:r w:rsidRPr="00750EEF">
        <w:rPr>
          <w:rFonts w:ascii="仿宋_GB2312" w:eastAsia="仿宋_GB2312" w:hAnsi="仿宋" w:cs="仿宋" w:hint="eastAsia"/>
          <w:bCs w:val="0"/>
        </w:rPr>
        <w:t>社会保障和就业支出（类）抚恤（款）死亡抚恤（项）</w:t>
      </w:r>
      <w:r w:rsidRPr="00750EEF">
        <w:rPr>
          <w:rFonts w:ascii="仿宋_GB2312" w:eastAsia="仿宋_GB2312" w:hAnsi="仿宋" w:cs="仿宋" w:hint="eastAsia"/>
          <w:b w:val="0"/>
          <w:bCs w:val="0"/>
        </w:rPr>
        <w:t>年初预算为3万元，支出决算为 2.27 万元，完成年初预算的76</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8"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。决算数与年初预算数存在差异的主要原因是：死亡抚恤支出减少。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15.</w:t>
      </w:r>
      <w:r w:rsidRPr="00750EEF">
        <w:rPr>
          <w:rFonts w:ascii="仿宋_GB2312" w:eastAsia="仿宋_GB2312" w:hAnsi="仿宋" w:cs="仿宋" w:hint="eastAsia"/>
          <w:bCs w:val="0"/>
        </w:rPr>
        <w:t>社会保障和就业支出（类）抚恤（款）在乡复员退伍军人生活补助（项）</w:t>
      </w:r>
      <w:r w:rsidRPr="00750EEF">
        <w:rPr>
          <w:rFonts w:ascii="仿宋_GB2312" w:eastAsia="仿宋_GB2312" w:hAnsi="仿宋" w:cs="仿宋" w:hint="eastAsia"/>
          <w:b w:val="0"/>
          <w:bCs w:val="0"/>
        </w:rPr>
        <w:t>年初预算为0.5万元，支出决算为0.38 万元，完成年初预算的76</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。决算数与年初预算数存在差异的主要原因是：退伍军人支出减少。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16.</w:t>
      </w:r>
      <w:r w:rsidRPr="00750EEF">
        <w:rPr>
          <w:rFonts w:ascii="仿宋_GB2312" w:eastAsia="仿宋_GB2312" w:hAnsi="仿宋" w:cs="仿宋" w:hint="eastAsia"/>
          <w:bCs w:val="0"/>
        </w:rPr>
        <w:t>社会保障和就业支出（类）抚恤（款）其他优抚支出（项）年</w:t>
      </w:r>
      <w:r w:rsidRPr="00750EEF">
        <w:rPr>
          <w:rFonts w:ascii="仿宋_GB2312" w:eastAsia="仿宋_GB2312" w:hAnsi="仿宋" w:cs="仿宋" w:hint="eastAsia"/>
          <w:b w:val="0"/>
          <w:bCs w:val="0"/>
        </w:rPr>
        <w:t>初预算为5万元，支出决算为 5.88 万元，完成年初预算的118</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。决算数与年初预算数存在差异的主要原因是：其他优抚支出增加。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sidRPr="00750EEF">
        <w:rPr>
          <w:rFonts w:ascii="仿宋_GB2312" w:eastAsia="仿宋_GB2312" w:hAnsi="仿宋" w:cs="仿宋" w:hint="eastAsia"/>
          <w:bCs w:val="0"/>
        </w:rPr>
        <w:t>17.医疗卫生与计划生育（类）行政事业单位医疗（款）行政单位医疗（项）</w:t>
      </w:r>
      <w:r w:rsidRPr="00750EEF">
        <w:rPr>
          <w:rFonts w:ascii="仿宋_GB2312" w:eastAsia="仿宋_GB2312" w:hAnsi="仿宋" w:cs="仿宋" w:hint="eastAsia"/>
          <w:b w:val="0"/>
          <w:bCs w:val="0"/>
        </w:rPr>
        <w:t>。年初预算为 19.41 万元，支出决算为 11.2 万</w:t>
      </w:r>
      <w:r w:rsidRPr="00750EEF">
        <w:rPr>
          <w:rFonts w:ascii="仿宋_GB2312" w:eastAsia="仿宋_GB2312" w:hAnsi="仿宋" w:cs="仿宋" w:hint="eastAsia"/>
          <w:b w:val="0"/>
          <w:bCs w:val="0"/>
        </w:rPr>
        <w:lastRenderedPageBreak/>
        <w:t>元。完成年初预算数的58</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。决算数与年初预算数存在差异的主要原因是：行政事业单位医疗支出减少。</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Pr>
          <w:rFonts w:ascii="仿宋_GB2312" w:eastAsia="仿宋_GB2312" w:hAnsi="仿宋" w:cs="仿宋" w:hint="eastAsia"/>
          <w:b w:val="0"/>
          <w:bCs w:val="0"/>
        </w:rPr>
        <w:t>18.</w:t>
      </w:r>
      <w:r w:rsidRPr="00750EEF">
        <w:rPr>
          <w:rFonts w:ascii="仿宋_GB2312" w:eastAsia="仿宋_GB2312" w:hAnsi="仿宋" w:cs="仿宋" w:hint="eastAsia"/>
          <w:bCs w:val="0"/>
        </w:rPr>
        <w:t>城乡社区支出（类）城乡社区管理事务（款）行政运行（项）。</w:t>
      </w:r>
      <w:r w:rsidRPr="00750EEF">
        <w:rPr>
          <w:rFonts w:ascii="仿宋_GB2312" w:eastAsia="仿宋_GB2312" w:hAnsi="仿宋" w:cs="仿宋" w:hint="eastAsia"/>
          <w:b w:val="0"/>
          <w:bCs w:val="0"/>
        </w:rPr>
        <w:t>年初预算为400万元，支出决算为 247.57万元。完成年初预算数62%的决算数与年初预算数存在差异的主要原因是：行政运行减少。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19.</w:t>
      </w:r>
      <w:r w:rsidRPr="00750EEF">
        <w:rPr>
          <w:rFonts w:ascii="仿宋_GB2312" w:eastAsia="仿宋_GB2312" w:hAnsi="仿宋" w:cs="仿宋" w:hint="eastAsia"/>
          <w:bCs w:val="0"/>
        </w:rPr>
        <w:t>城乡社区支出（类）城乡社区管理事务（款）机关服务（项）</w:t>
      </w:r>
      <w:r w:rsidRPr="00750EEF">
        <w:rPr>
          <w:rFonts w:ascii="仿宋_GB2312" w:eastAsia="仿宋_GB2312" w:hAnsi="仿宋" w:cs="仿宋" w:hint="eastAsia"/>
          <w:b w:val="0"/>
          <w:bCs w:val="0"/>
        </w:rPr>
        <w:t>年初预算为 300 万元，支出决算为 134.42 万元。完成年初预算数的 45%。决算数与年初预算数存在差异的主要原因是：机关服务支出减少。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20.</w:t>
      </w:r>
      <w:r w:rsidRPr="00750EEF">
        <w:rPr>
          <w:rFonts w:ascii="仿宋_GB2312" w:eastAsia="仿宋_GB2312" w:hAnsi="仿宋" w:cs="仿宋" w:hint="eastAsia"/>
          <w:bCs w:val="0"/>
        </w:rPr>
        <w:t>城乡社区支出（类）其他城乡社区支出（款）其他城乡社区支出（项）</w:t>
      </w:r>
      <w:r w:rsidRPr="00750EEF">
        <w:rPr>
          <w:rFonts w:ascii="仿宋_GB2312" w:eastAsia="仿宋_GB2312" w:hAnsi="仿宋" w:cs="仿宋" w:hint="eastAsia"/>
          <w:b w:val="0"/>
          <w:bCs w:val="0"/>
        </w:rPr>
        <w:t>年初预算为63.45万元，支出决算为 7.37万元。完成年初预算数的116%。决算数与年初预算数存在差异的主要原因是：其他城乡社区支出减少。</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21.</w:t>
      </w:r>
      <w:r w:rsidRPr="00750EEF">
        <w:rPr>
          <w:rFonts w:ascii="仿宋_GB2312" w:eastAsia="仿宋_GB2312" w:hAnsi="仿宋" w:cs="仿宋" w:hint="eastAsia"/>
          <w:bCs w:val="0"/>
        </w:rPr>
        <w:t>农林水支出（类）水利（款）其他水利支出（项）</w:t>
      </w:r>
      <w:r w:rsidRPr="00750EEF">
        <w:rPr>
          <w:rFonts w:ascii="仿宋_GB2312" w:eastAsia="仿宋_GB2312" w:hAnsi="仿宋" w:cs="仿宋" w:hint="eastAsia"/>
          <w:b w:val="0"/>
          <w:bCs w:val="0"/>
        </w:rPr>
        <w:t>。年初预算为0.5万元，支出决算为1万元。完成年初预算数的200%，决算数与年初预算数存在差异的主要原因是：其他水利支出增加。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22.</w:t>
      </w:r>
      <w:r w:rsidRPr="00750EEF">
        <w:rPr>
          <w:rFonts w:ascii="仿宋_GB2312" w:eastAsia="仿宋_GB2312" w:hAnsi="仿宋" w:cs="仿宋" w:hint="eastAsia"/>
          <w:bCs w:val="0"/>
        </w:rPr>
        <w:t>农林水支出（类）农村综合改革（款）</w:t>
      </w:r>
      <w:r w:rsidRPr="00750EEF">
        <w:rPr>
          <w:rFonts w:ascii="仿宋_GB2312" w:eastAsia="仿宋_GB2312" w:hAnsi="仿宋" w:cs="仿宋" w:hint="eastAsia"/>
          <w:b w:val="0"/>
          <w:bCs w:val="0"/>
        </w:rPr>
        <w:t>对村民委员会和村党支部的补助（项）年初预算为2.6万元，支出决算为8.42万元。完成年初预算数的324</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4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。决算数与年初预算数存在差异的主要原因是：基层党支部支出增加。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sidRPr="00750EEF">
        <w:rPr>
          <w:rFonts w:ascii="仿宋_GB2312" w:eastAsia="仿宋_GB2312" w:hAnsi="仿宋" w:cs="仿宋" w:hint="eastAsia"/>
          <w:bCs w:val="0"/>
        </w:rPr>
        <w:t>23.资源勘探信息（类）安全生产监管（款）安全监管监察专项（项）</w:t>
      </w:r>
      <w:r w:rsidRPr="00750EEF">
        <w:rPr>
          <w:rFonts w:ascii="仿宋_GB2312" w:eastAsia="仿宋_GB2312" w:hAnsi="仿宋" w:cs="仿宋" w:hint="eastAsia"/>
          <w:b w:val="0"/>
          <w:bCs w:val="0"/>
        </w:rPr>
        <w:t>。年初预算为0万元，支出决算为1.14万元。完成年初预</w:t>
      </w:r>
      <w:r w:rsidRPr="00750EEF">
        <w:rPr>
          <w:rFonts w:ascii="仿宋_GB2312" w:eastAsia="仿宋_GB2312" w:hAnsi="仿宋" w:cs="仿宋" w:hint="eastAsia"/>
          <w:b w:val="0"/>
          <w:bCs w:val="0"/>
        </w:rPr>
        <w:lastRenderedPageBreak/>
        <w:t>算数的114</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4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。决算数与年初预算数存在差异的主要原因是：安全生产监管支出增加。</w:t>
      </w:r>
    </w:p>
    <w:p w:rsidR="00F74A0A" w:rsidRPr="00750EEF" w:rsidRDefault="00750EEF" w:rsidP="00750EEF">
      <w:pPr>
        <w:pStyle w:val="2"/>
        <w:snapToGrid w:val="0"/>
        <w:spacing w:line="600" w:lineRule="exact"/>
        <w:ind w:left="0" w:firstLineChars="200" w:firstLine="643"/>
        <w:rPr>
          <w:rFonts w:ascii="仿宋_GB2312" w:eastAsia="仿宋_GB2312" w:hAnsi="仿宋" w:cs="仿宋"/>
          <w:b w:val="0"/>
          <w:bCs w:val="0"/>
        </w:rPr>
      </w:pPr>
      <w:r w:rsidRPr="00750EEF">
        <w:rPr>
          <w:rFonts w:ascii="仿宋_GB2312" w:eastAsia="仿宋_GB2312" w:hAnsi="仿宋" w:cs="仿宋" w:hint="eastAsia"/>
          <w:bCs w:val="0"/>
        </w:rPr>
        <w:t>24.住房保障支出（类）住房改革支出（款）住房公积金（项）</w:t>
      </w:r>
      <w:r w:rsidRPr="00750EEF">
        <w:rPr>
          <w:rFonts w:ascii="仿宋_GB2312" w:eastAsia="仿宋_GB2312" w:hAnsi="仿宋" w:cs="仿宋" w:hint="eastAsia"/>
          <w:b w:val="0"/>
          <w:bCs w:val="0"/>
        </w:rPr>
        <w:t>年初预算为 16.59 万元，支出决算为15.63万元。完成年初预算数的94</w:t>
      </w:r>
      <w:r w:rsidRPr="00750EEF">
        <w:rPr>
          <w:rFonts w:ascii="仿宋_GB2312" w:eastAsia="仿宋_GB2312" w:hAnsi="仿宋" w:cs="仿宋" w:hint="eastAsia"/>
          <w:b w:val="0"/>
          <w:bCs w:val="0"/>
          <w:noProof/>
          <w:lang w:val="en-US" w:bidi="ar-SA"/>
        </w:rPr>
        <w:drawing>
          <wp:inline distT="0" distB="0" distL="0" distR="0">
            <wp:extent cx="85090" cy="154940"/>
            <wp:effectExtent l="0" t="0" r="10160" b="16510"/>
            <wp:docPr id="4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。决算数与年初预算数存在差异的主要原因是：住房保障支出减少。</w:t>
      </w:r>
    </w:p>
    <w:p w:rsidR="00F74A0A" w:rsidRDefault="00750EEF" w:rsidP="00750EEF">
      <w:pPr>
        <w:pStyle w:val="2"/>
        <w:snapToGrid w:val="0"/>
        <w:spacing w:line="600" w:lineRule="exact"/>
        <w:ind w:left="0" w:firstLineChars="200" w:firstLine="640"/>
        <w:rPr>
          <w:rFonts w:ascii="黑体" w:eastAsia="黑体" w:hAnsi="黑体" w:cs="黑体"/>
          <w:b w:val="0"/>
          <w:bCs w:val="0"/>
        </w:rPr>
      </w:pPr>
      <w:r>
        <w:rPr>
          <w:rFonts w:ascii="黑体" w:eastAsia="黑体" w:hAnsi="黑体" w:cs="黑体" w:hint="eastAsia"/>
          <w:b w:val="0"/>
          <w:bCs w:val="0"/>
        </w:rPr>
        <w:t>六、一般公共预算财政拨款基本支出决算情况说明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年一般公共预算财政拨款基本支出 528.14 万元。其中：人员经费 269.73 万元，包括：基本工资 74.56 万元、津贴补贴 84.71 万元、奖金 48.94 万元、绩效工资 0 万元、机关事业单位基本养老保险缴费 22.64 万元、职工基本医疗保险缴费 8.65 万元、公务员医疗补助缴费 2.55 万元、其他社会保险缴费 11.90 万元、住房公积金 15.62 万元、医疗费0 万元、其他工资福利支出 0.16 万元；</w:t>
      </w:r>
    </w:p>
    <w:p w:rsidR="00F74A0A" w:rsidRDefault="00750EEF" w:rsidP="00750EEF">
      <w:pPr>
        <w:pStyle w:val="2"/>
        <w:snapToGrid w:val="0"/>
        <w:spacing w:line="600" w:lineRule="exact"/>
        <w:ind w:left="0" w:firstLineChars="200" w:firstLine="640"/>
        <w:rPr>
          <w:rFonts w:ascii="黑体" w:eastAsia="黑体" w:hAnsi="黑体" w:cs="黑体"/>
          <w:b w:val="0"/>
          <w:bCs w:val="0"/>
        </w:rPr>
      </w:pPr>
      <w:r>
        <w:rPr>
          <w:rFonts w:ascii="黑体" w:eastAsia="黑体" w:hAnsi="黑体" w:cs="黑体" w:hint="eastAsia"/>
          <w:b w:val="0"/>
          <w:bCs w:val="0"/>
        </w:rPr>
        <w:t>七、一般公共预算财政拨款“三公”经费支出决算情况说明</w:t>
      </w:r>
    </w:p>
    <w:p w:rsidR="00F74A0A" w:rsidRDefault="00750EEF" w:rsidP="00750EEF">
      <w:pPr>
        <w:pStyle w:val="2"/>
        <w:snapToGrid w:val="0"/>
        <w:spacing w:line="600" w:lineRule="exact"/>
        <w:ind w:left="0" w:firstLineChars="200" w:firstLine="643"/>
        <w:rPr>
          <w:rFonts w:ascii="楷体_GB2312" w:eastAsia="楷体_GB2312" w:hAnsi="楷体_GB2312" w:cs="楷体_GB2312"/>
          <w:kern w:val="2"/>
          <w:lang w:val="en-US" w:bidi="ar-SA"/>
        </w:rPr>
      </w:pPr>
      <w:r>
        <w:rPr>
          <w:rFonts w:ascii="楷体_GB2312" w:eastAsia="楷体_GB2312" w:hAnsi="楷体_GB2312" w:cs="楷体_GB2312" w:hint="eastAsia"/>
          <w:kern w:val="2"/>
          <w:lang w:val="en-US" w:bidi="ar-SA"/>
        </w:rPr>
        <w:t>（一）“三公”经费财政拨款支出决算总体情况说明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年度“三公”经费财政拨款支出预算为 3.5 万元，支出决算为1.45万元，完成预算的42</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.2018年度“三公” 经费支出决算数与预算数存在差异主要原因是：公务用车运行费支出、公务接待费支出减少。</w:t>
      </w:r>
    </w:p>
    <w:p w:rsidR="00F74A0A" w:rsidRDefault="00750EEF" w:rsidP="00750EEF">
      <w:pPr>
        <w:pStyle w:val="2"/>
        <w:snapToGrid w:val="0"/>
        <w:spacing w:line="600" w:lineRule="exact"/>
        <w:ind w:left="0" w:firstLineChars="200" w:firstLine="643"/>
        <w:rPr>
          <w:rFonts w:ascii="楷体_GB2312" w:eastAsia="楷体_GB2312" w:hAnsi="楷体_GB2312" w:cs="楷体_GB2312"/>
          <w:kern w:val="2"/>
          <w:lang w:val="en-US" w:bidi="ar-SA"/>
        </w:rPr>
      </w:pPr>
      <w:r>
        <w:rPr>
          <w:rFonts w:ascii="楷体_GB2312" w:eastAsia="楷体_GB2312" w:hAnsi="楷体_GB2312" w:cs="楷体_GB2312" w:hint="eastAsia"/>
          <w:kern w:val="2"/>
          <w:lang w:val="en-US" w:bidi="ar-SA"/>
        </w:rPr>
        <w:t>（二）“三公”经费财政拨款支出决算具体情况说明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 年度“三公”经费财政拨款支出决算中，公务用车购置及运行费支出决算1.45万元，占48</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,完成预算的48</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;公务接待费支</w:t>
      </w:r>
      <w:r w:rsidRPr="00750EEF">
        <w:rPr>
          <w:rFonts w:ascii="仿宋_GB2312" w:eastAsia="仿宋_GB2312" w:hAnsi="仿宋" w:cs="仿宋" w:hint="eastAsia"/>
          <w:b w:val="0"/>
          <w:bCs w:val="0"/>
        </w:rPr>
        <w:lastRenderedPageBreak/>
        <w:t>出决算0.03万元，占6</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,完成预算的6</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。具体情况如下：</w:t>
      </w:r>
    </w:p>
    <w:p w:rsidR="00F74A0A" w:rsidRPr="00750EEF" w:rsidRDefault="00FD35C5"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1.</w:t>
      </w:r>
      <w:r w:rsidR="00750EEF" w:rsidRPr="00FD35C5">
        <w:rPr>
          <w:rFonts w:ascii="仿宋_GB2312" w:eastAsia="仿宋_GB2312" w:hAnsi="仿宋" w:cs="仿宋" w:hint="eastAsia"/>
          <w:bCs w:val="0"/>
        </w:rPr>
        <w:t>因公出国（境）费</w:t>
      </w:r>
      <w:r w:rsidR="00750EEF" w:rsidRPr="00750EEF">
        <w:rPr>
          <w:rFonts w:ascii="仿宋_GB2312" w:eastAsia="仿宋_GB2312" w:hAnsi="仿宋" w:cs="仿宋" w:hint="eastAsia"/>
          <w:b w:val="0"/>
          <w:bCs w:val="0"/>
        </w:rPr>
        <w:t>年初预算为0万元，支出决算为0万元，完成年初预算的0%。</w:t>
      </w:r>
    </w:p>
    <w:p w:rsidR="00F74A0A" w:rsidRPr="00750EEF" w:rsidRDefault="00FD35C5"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2.</w:t>
      </w:r>
      <w:r w:rsidR="00750EEF" w:rsidRPr="00FD35C5">
        <w:rPr>
          <w:rFonts w:ascii="仿宋_GB2312" w:eastAsia="仿宋_GB2312" w:hAnsi="仿宋" w:cs="仿宋" w:hint="eastAsia"/>
          <w:bCs w:val="0"/>
        </w:rPr>
        <w:t>公务用车购置及运行费</w:t>
      </w:r>
      <w:r w:rsidR="00750EEF" w:rsidRPr="00750EEF">
        <w:rPr>
          <w:rFonts w:ascii="仿宋_GB2312" w:eastAsia="仿宋_GB2312" w:hAnsi="仿宋" w:cs="仿宋" w:hint="eastAsia"/>
          <w:b w:val="0"/>
          <w:bCs w:val="0"/>
        </w:rPr>
        <w:t>年初预算 3 万元，支出决算为1.45万元，完成预算的48</w:t>
      </w:r>
      <w:r w:rsidR="00750EEF" w:rsidRPr="00750EEF">
        <w:rPr>
          <w:rFonts w:ascii="仿宋_GB2312" w:eastAsia="仿宋_GB2312" w:hAnsi="仿宋" w:cs="仿宋" w:hint="eastAsia"/>
          <w:b w:val="0"/>
          <w:bCs w:val="0"/>
          <w:noProof/>
          <w:lang w:val="en-US" w:bidi="ar-SA"/>
        </w:rPr>
        <w:drawing>
          <wp:inline distT="0" distB="0" distL="0" distR="0">
            <wp:extent cx="85090" cy="154940"/>
            <wp:effectExtent l="0" t="0" r="0" b="0"/>
            <wp:docPr id="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00750EEF" w:rsidRPr="00750EEF">
        <w:rPr>
          <w:rFonts w:ascii="仿宋_GB2312" w:eastAsia="仿宋_GB2312" w:hAnsi="仿宋" w:cs="仿宋" w:hint="eastAsia"/>
          <w:b w:val="0"/>
          <w:bCs w:val="0"/>
        </w:rPr>
        <w:t>。其中：</w:t>
      </w:r>
    </w:p>
    <w:p w:rsidR="00F74A0A" w:rsidRPr="00750EEF" w:rsidRDefault="00750EEF"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公务用车购置支出</w:t>
      </w:r>
      <w:r w:rsidRPr="00750EEF">
        <w:rPr>
          <w:rFonts w:ascii="仿宋_GB2312" w:eastAsia="仿宋_GB2312" w:hAnsi="仿宋" w:cs="仿宋" w:hint="eastAsia"/>
          <w:b w:val="0"/>
          <w:bCs w:val="0"/>
        </w:rPr>
        <w:t xml:space="preserve">为0 </w:t>
      </w:r>
      <w:r w:rsidR="00AC141A">
        <w:rPr>
          <w:rFonts w:ascii="仿宋_GB2312" w:eastAsia="仿宋_GB2312" w:hAnsi="仿宋" w:cs="仿宋" w:hint="eastAsia"/>
          <w:b w:val="0"/>
          <w:bCs w:val="0"/>
        </w:rPr>
        <w:t>万元，购置车辆0辆，其中0车0辆、0车0辆。</w:t>
      </w:r>
    </w:p>
    <w:p w:rsidR="00F74A0A" w:rsidRPr="00750EEF" w:rsidRDefault="00750EEF"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公务用车运行支出</w:t>
      </w:r>
      <w:r w:rsidRPr="00750EEF">
        <w:rPr>
          <w:rFonts w:ascii="仿宋_GB2312" w:eastAsia="仿宋_GB2312" w:hAnsi="仿宋" w:cs="仿宋" w:hint="eastAsia"/>
          <w:b w:val="0"/>
          <w:bCs w:val="0"/>
        </w:rPr>
        <w:t>1.45 万元。主要用于：日常公务用车及维护。2018 年期末，部门开支财政拨款的公务用车保有量为 4 辆。</w:t>
      </w:r>
    </w:p>
    <w:p w:rsidR="00F74A0A" w:rsidRPr="00750EEF" w:rsidRDefault="00FD35C5" w:rsidP="00FD35C5">
      <w:pPr>
        <w:pStyle w:val="2"/>
        <w:snapToGrid w:val="0"/>
        <w:spacing w:line="600" w:lineRule="exact"/>
        <w:ind w:left="0" w:firstLineChars="200" w:firstLine="643"/>
        <w:rPr>
          <w:rFonts w:ascii="仿宋_GB2312" w:eastAsia="仿宋_GB2312" w:hAnsi="仿宋" w:cs="仿宋"/>
          <w:b w:val="0"/>
          <w:bCs w:val="0"/>
        </w:rPr>
      </w:pPr>
      <w:r>
        <w:rPr>
          <w:rFonts w:ascii="仿宋_GB2312" w:eastAsia="仿宋_GB2312" w:hAnsi="仿宋" w:cs="仿宋" w:hint="eastAsia"/>
          <w:bCs w:val="0"/>
        </w:rPr>
        <w:t>3.</w:t>
      </w:r>
      <w:r w:rsidR="00750EEF" w:rsidRPr="00FD35C5">
        <w:rPr>
          <w:rFonts w:ascii="仿宋_GB2312" w:eastAsia="仿宋_GB2312" w:hAnsi="仿宋" w:cs="仿宋" w:hint="eastAsia"/>
          <w:bCs w:val="0"/>
        </w:rPr>
        <w:t>公务接待费</w:t>
      </w:r>
      <w:r w:rsidR="00750EEF" w:rsidRPr="00750EEF">
        <w:rPr>
          <w:rFonts w:ascii="仿宋_GB2312" w:eastAsia="仿宋_GB2312" w:hAnsi="仿宋" w:cs="仿宋" w:hint="eastAsia"/>
          <w:b w:val="0"/>
          <w:bCs w:val="0"/>
        </w:rPr>
        <w:t>年初预算 0.5 万元，支出决算 0.03 万元。其中其他国内公务接待支出0.03万元，完成预算的6</w:t>
      </w:r>
      <w:r w:rsidR="00750EEF" w:rsidRPr="00750EEF">
        <w:rPr>
          <w:rFonts w:ascii="仿宋_GB2312" w:eastAsia="仿宋_GB2312" w:hAnsi="仿宋" w:cs="仿宋" w:hint="eastAsia"/>
          <w:b w:val="0"/>
          <w:bCs w:val="0"/>
          <w:noProof/>
          <w:lang w:val="en-US" w:bidi="ar-SA"/>
        </w:rPr>
        <w:drawing>
          <wp:inline distT="0" distB="0" distL="0" distR="0">
            <wp:extent cx="85090" cy="154940"/>
            <wp:effectExtent l="0" t="0" r="0" b="0"/>
            <wp:docPr id="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00750EEF" w:rsidRPr="00750EEF">
        <w:rPr>
          <w:rFonts w:ascii="仿宋_GB2312" w:eastAsia="仿宋_GB2312" w:hAnsi="仿宋" w:cs="仿宋" w:hint="eastAsia"/>
          <w:b w:val="0"/>
          <w:bCs w:val="0"/>
        </w:rPr>
        <w:t>。主要用于：基层网格化建设现场会公务接待。</w:t>
      </w:r>
    </w:p>
    <w:p w:rsidR="00750EEF" w:rsidRPr="00750EEF" w:rsidRDefault="00750EEF"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外宾接待支出</w:t>
      </w:r>
      <w:r w:rsidRPr="00750EEF">
        <w:rPr>
          <w:rFonts w:ascii="仿宋_GB2312" w:eastAsia="仿宋_GB2312" w:hAnsi="仿宋" w:cs="仿宋" w:hint="eastAsia"/>
          <w:b w:val="0"/>
          <w:bCs w:val="0"/>
        </w:rPr>
        <w:t>0万元。2018年共接待国（境）外来访团组0个、来访外宾0人次（不包括陪同人员）。</w:t>
      </w:r>
    </w:p>
    <w:p w:rsidR="00F74A0A" w:rsidRPr="00750EEF" w:rsidRDefault="00750EEF" w:rsidP="00FD35C5">
      <w:pPr>
        <w:pStyle w:val="2"/>
        <w:snapToGrid w:val="0"/>
        <w:spacing w:line="600" w:lineRule="exact"/>
        <w:ind w:left="0" w:firstLineChars="200" w:firstLine="643"/>
        <w:rPr>
          <w:rFonts w:ascii="仿宋_GB2312" w:eastAsia="仿宋_GB2312" w:hAnsi="仿宋" w:cs="仿宋"/>
          <w:b w:val="0"/>
          <w:bCs w:val="0"/>
        </w:rPr>
      </w:pPr>
      <w:r w:rsidRPr="00FD35C5">
        <w:rPr>
          <w:rFonts w:ascii="仿宋_GB2312" w:eastAsia="仿宋_GB2312" w:hAnsi="仿宋" w:cs="仿宋" w:hint="eastAsia"/>
          <w:bCs w:val="0"/>
        </w:rPr>
        <w:t>其他国内公务接待支出</w:t>
      </w:r>
      <w:r w:rsidRPr="00750EEF">
        <w:rPr>
          <w:rFonts w:ascii="仿宋_GB2312" w:eastAsia="仿宋_GB2312" w:hAnsi="仿宋" w:cs="仿宋" w:hint="eastAsia"/>
          <w:b w:val="0"/>
          <w:bCs w:val="0"/>
        </w:rPr>
        <w:t>0.03万元。主要用于基层网格化建设现场会公务接待。2018年度共接待国内来访1个、来访人员9人次（不包括陪同人员）。</w:t>
      </w:r>
    </w:p>
    <w:p w:rsidR="00F74A0A" w:rsidRDefault="00750EEF" w:rsidP="00750EEF">
      <w:pPr>
        <w:pStyle w:val="2"/>
        <w:numPr>
          <w:ilvl w:val="0"/>
          <w:numId w:val="5"/>
        </w:numPr>
        <w:snapToGrid w:val="0"/>
        <w:spacing w:line="600" w:lineRule="exact"/>
        <w:ind w:left="0"/>
        <w:rPr>
          <w:rFonts w:ascii="黑体" w:eastAsia="黑体" w:hAnsi="黑体" w:cs="黑体"/>
          <w:b w:val="0"/>
          <w:bCs w:val="0"/>
        </w:rPr>
      </w:pPr>
      <w:r>
        <w:rPr>
          <w:rFonts w:ascii="黑体" w:eastAsia="黑体" w:hAnsi="黑体" w:cs="黑体" w:hint="eastAsia"/>
          <w:b w:val="0"/>
          <w:bCs w:val="0"/>
        </w:rPr>
        <w:t>关于预算绩效情况说明</w:t>
      </w:r>
    </w:p>
    <w:p w:rsidR="00F74A0A" w:rsidRDefault="00750EEF" w:rsidP="00750EEF">
      <w:pPr>
        <w:pStyle w:val="2"/>
        <w:snapToGrid w:val="0"/>
        <w:spacing w:line="600" w:lineRule="exact"/>
        <w:ind w:left="0" w:firstLineChars="200" w:firstLine="643"/>
        <w:rPr>
          <w:rFonts w:ascii="楷体_GB2312" w:eastAsia="楷体_GB2312" w:hAnsi="楷体_GB2312" w:cs="楷体_GB2312"/>
          <w:kern w:val="2"/>
          <w:lang w:val="en-US" w:bidi="ar-SA"/>
        </w:rPr>
      </w:pPr>
      <w:r>
        <w:rPr>
          <w:rFonts w:ascii="楷体_GB2312" w:eastAsia="楷体_GB2312" w:hAnsi="楷体_GB2312" w:cs="楷体_GB2312" w:hint="eastAsia"/>
          <w:kern w:val="2"/>
          <w:lang w:val="en-US" w:bidi="ar-SA"/>
        </w:rPr>
        <w:t>（一）绩效管理工作开展情况。</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按照加强预算绩效管理和完善公共财政体系总体要求， 2018年西工区邙岭路办事处重点项目共3个。</w:t>
      </w:r>
    </w:p>
    <w:p w:rsidR="00F74A0A" w:rsidRDefault="00750EEF" w:rsidP="00750EEF">
      <w:pPr>
        <w:pStyle w:val="2"/>
        <w:numPr>
          <w:ilvl w:val="0"/>
          <w:numId w:val="6"/>
        </w:numPr>
        <w:snapToGrid w:val="0"/>
        <w:spacing w:line="600" w:lineRule="exact"/>
        <w:ind w:left="0" w:firstLineChars="200" w:firstLine="643"/>
        <w:rPr>
          <w:rFonts w:ascii="仿宋" w:eastAsia="仿宋" w:hAnsi="仿宋" w:cs="仿宋"/>
        </w:rPr>
      </w:pPr>
      <w:r>
        <w:rPr>
          <w:rFonts w:ascii="楷体_GB2312" w:eastAsia="楷体_GB2312" w:hAnsi="楷体_GB2312" w:cs="楷体_GB2312" w:hint="eastAsia"/>
          <w:kern w:val="2"/>
          <w:lang w:val="en-US" w:bidi="ar-SA"/>
        </w:rPr>
        <w:t>项目绩效自评结果。</w:t>
      </w:r>
    </w:p>
    <w:p w:rsidR="00F74A0A" w:rsidRPr="00750EEF" w:rsidRDefault="00FD35C5" w:rsidP="00750EEF">
      <w:pPr>
        <w:pStyle w:val="2"/>
        <w:snapToGrid w:val="0"/>
        <w:spacing w:line="600" w:lineRule="exact"/>
        <w:ind w:left="0" w:firstLineChars="200" w:firstLine="640"/>
        <w:rPr>
          <w:rFonts w:ascii="仿宋_GB2312" w:eastAsia="仿宋_GB2312" w:hAnsi="仿宋" w:cs="仿宋"/>
          <w:b w:val="0"/>
          <w:bCs w:val="0"/>
        </w:rPr>
      </w:pPr>
      <w:r>
        <w:rPr>
          <w:rFonts w:ascii="仿宋_GB2312" w:eastAsia="仿宋_GB2312" w:hAnsi="仿宋" w:cs="仿宋" w:hint="eastAsia"/>
          <w:b w:val="0"/>
          <w:bCs w:val="0"/>
        </w:rPr>
        <w:t>1、</w:t>
      </w:r>
      <w:r w:rsidR="00750EEF" w:rsidRPr="00750EEF">
        <w:rPr>
          <w:rFonts w:ascii="仿宋_GB2312" w:eastAsia="仿宋_GB2312" w:hAnsi="仿宋" w:cs="仿宋" w:hint="eastAsia"/>
          <w:b w:val="0"/>
          <w:bCs w:val="0"/>
        </w:rPr>
        <w:t>中建社区便民服务大厅装修工程款 10 万元，为了更好服</w:t>
      </w:r>
      <w:r w:rsidR="00750EEF" w:rsidRPr="00750EEF">
        <w:rPr>
          <w:rFonts w:ascii="仿宋_GB2312" w:eastAsia="仿宋_GB2312" w:hAnsi="仿宋" w:cs="仿宋" w:hint="eastAsia"/>
          <w:b w:val="0"/>
          <w:bCs w:val="0"/>
        </w:rPr>
        <w:lastRenderedPageBreak/>
        <w:t>务辖区群众，评价结果良好。2、石油社区 8 号院庭院提升工程 7.8 万元，按照区委，区政府统一要求用于社区 基础设施提升，评价结果良好。3、办事处外墙粉刷及零星工程 4.8 万，为更好服务群众营造良好环境，评价结果良好。</w:t>
      </w:r>
    </w:p>
    <w:p w:rsidR="00F74A0A" w:rsidRDefault="00750EEF" w:rsidP="00750EEF">
      <w:pPr>
        <w:pStyle w:val="2"/>
        <w:snapToGrid w:val="0"/>
        <w:spacing w:line="600" w:lineRule="exact"/>
        <w:ind w:left="0" w:firstLineChars="200" w:firstLine="568"/>
        <w:rPr>
          <w:rFonts w:ascii="黑体" w:eastAsia="黑体" w:hAnsi="黑体" w:cs="黑体"/>
          <w:b w:val="0"/>
          <w:bCs w:val="0"/>
          <w:spacing w:val="-18"/>
        </w:rPr>
      </w:pPr>
      <w:r>
        <w:rPr>
          <w:rFonts w:ascii="黑体" w:eastAsia="黑体" w:hAnsi="黑体" w:cs="黑体" w:hint="eastAsia"/>
          <w:b w:val="0"/>
          <w:bCs w:val="0"/>
          <w:spacing w:val="-18"/>
        </w:rPr>
        <w:t>九、关于政府性基金预算财政拨款支出决算情况说明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政府性基金预算财政拨款支出决算为零。</w:t>
      </w:r>
    </w:p>
    <w:p w:rsidR="00F74A0A" w:rsidRDefault="00750EEF" w:rsidP="00750EEF">
      <w:pPr>
        <w:pStyle w:val="2"/>
        <w:snapToGrid w:val="0"/>
        <w:spacing w:line="600" w:lineRule="exact"/>
        <w:ind w:left="0" w:firstLineChars="200" w:firstLine="640"/>
        <w:rPr>
          <w:rFonts w:ascii="黑体" w:eastAsia="黑体" w:hAnsi="黑体" w:cs="黑体"/>
          <w:b w:val="0"/>
          <w:bCs w:val="0"/>
        </w:rPr>
      </w:pPr>
      <w:r>
        <w:rPr>
          <w:rFonts w:ascii="黑体" w:eastAsia="黑体" w:hAnsi="黑体" w:cs="黑体" w:hint="eastAsia"/>
          <w:b w:val="0"/>
          <w:bCs w:val="0"/>
        </w:rPr>
        <w:t>十、机关运行经费支出情况说明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2018年度机关运行经费年初预算 477.44 万元，支出决算为343.49万元，完成年初预算的72</w:t>
      </w:r>
      <w:r w:rsidRPr="00750EEF">
        <w:rPr>
          <w:rFonts w:ascii="仿宋_GB2312" w:eastAsia="仿宋_GB2312" w:hAnsi="仿宋" w:cs="仿宋" w:hint="eastAsia"/>
          <w:b w:val="0"/>
          <w:bCs w:val="0"/>
          <w:noProof/>
          <w:lang w:val="en-US" w:bidi="ar-SA"/>
        </w:rPr>
        <w:drawing>
          <wp:inline distT="0" distB="0" distL="0" distR="0">
            <wp:extent cx="85090" cy="154940"/>
            <wp:effectExtent l="0" t="0" r="0" b="0"/>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2.png"/>
                    <pic:cNvPicPr>
                      <a:picLocks noChangeAspect="1"/>
                    </pic:cNvPicPr>
                  </pic:nvPicPr>
                  <pic:blipFill>
                    <a:blip r:embed="rId21" cstate="print"/>
                    <a:stretch>
                      <a:fillRect/>
                    </a:stretch>
                  </pic:blipFill>
                  <pic:spPr>
                    <a:xfrm>
                      <a:off x="0" y="0"/>
                      <a:ext cx="85724" cy="155574"/>
                    </a:xfrm>
                    <a:prstGeom prst="rect">
                      <a:avLst/>
                    </a:prstGeom>
                  </pic:spPr>
                </pic:pic>
              </a:graphicData>
            </a:graphic>
          </wp:inline>
        </w:drawing>
      </w:r>
      <w:r w:rsidRPr="00750EEF">
        <w:rPr>
          <w:rFonts w:ascii="仿宋_GB2312" w:eastAsia="仿宋_GB2312" w:hAnsi="仿宋" w:cs="仿宋" w:hint="eastAsia"/>
          <w:b w:val="0"/>
          <w:bCs w:val="0"/>
        </w:rPr>
        <w:t>。决算数与年初预算数存在差异的主要原因是：机关服务支出减少。</w:t>
      </w:r>
    </w:p>
    <w:p w:rsidR="00F74A0A" w:rsidRDefault="00750EEF" w:rsidP="00750EEF">
      <w:pPr>
        <w:pStyle w:val="2"/>
        <w:snapToGrid w:val="0"/>
        <w:spacing w:line="600" w:lineRule="exact"/>
        <w:ind w:left="0" w:firstLineChars="200" w:firstLine="640"/>
        <w:rPr>
          <w:rFonts w:ascii="黑体" w:eastAsia="黑体" w:hAnsi="黑体" w:cs="黑体"/>
          <w:b w:val="0"/>
          <w:bCs w:val="0"/>
        </w:rPr>
      </w:pPr>
      <w:r>
        <w:rPr>
          <w:rFonts w:ascii="黑体" w:eastAsia="黑体" w:hAnsi="黑体" w:cs="黑体" w:hint="eastAsia"/>
          <w:b w:val="0"/>
          <w:bCs w:val="0"/>
        </w:rPr>
        <w:t>十一、政府采购支出情况说明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b w:val="0"/>
          <w:bCs w:val="0"/>
        </w:rPr>
      </w:pPr>
      <w:r w:rsidRPr="00750EEF">
        <w:rPr>
          <w:rFonts w:ascii="仿宋_GB2312" w:eastAsia="仿宋_GB2312" w:hAnsi="仿宋" w:cs="仿宋" w:hint="eastAsia"/>
          <w:b w:val="0"/>
          <w:bCs w:val="0"/>
        </w:rPr>
        <w:t>2018</w:t>
      </w:r>
      <w:r w:rsidRPr="00750EEF">
        <w:rPr>
          <w:rFonts w:ascii="仿宋_GB2312" w:eastAsia="仿宋_GB2312" w:hAnsi="仿宋" w:cs="仿宋" w:hint="eastAsia"/>
          <w:b w:val="0"/>
          <w:bCs w:val="0"/>
          <w:spacing w:val="-14"/>
        </w:rPr>
        <w:t xml:space="preserve">年度政府采购支出总额 </w:t>
      </w:r>
      <w:r w:rsidRPr="00750EEF">
        <w:rPr>
          <w:rFonts w:ascii="仿宋_GB2312" w:eastAsia="仿宋_GB2312" w:hAnsi="仿宋" w:cs="仿宋" w:hint="eastAsia"/>
          <w:b w:val="0"/>
          <w:bCs w:val="0"/>
        </w:rPr>
        <w:t>157.02</w:t>
      </w:r>
      <w:r w:rsidRPr="00750EEF">
        <w:rPr>
          <w:rFonts w:ascii="仿宋_GB2312" w:eastAsia="仿宋_GB2312" w:hAnsi="仿宋" w:cs="仿宋" w:hint="eastAsia"/>
          <w:b w:val="0"/>
          <w:bCs w:val="0"/>
          <w:spacing w:val="-8"/>
        </w:rPr>
        <w:t xml:space="preserve"> 万元，其中：政府采购货物支出 </w:t>
      </w:r>
      <w:r w:rsidRPr="00750EEF">
        <w:rPr>
          <w:rFonts w:ascii="仿宋_GB2312" w:eastAsia="仿宋_GB2312" w:hAnsi="仿宋" w:cs="仿宋" w:hint="eastAsia"/>
          <w:b w:val="0"/>
          <w:bCs w:val="0"/>
        </w:rPr>
        <w:t>0</w:t>
      </w:r>
      <w:r w:rsidRPr="00750EEF">
        <w:rPr>
          <w:rFonts w:ascii="仿宋_GB2312" w:eastAsia="仿宋_GB2312" w:hAnsi="仿宋" w:cs="仿宋" w:hint="eastAsia"/>
          <w:b w:val="0"/>
          <w:bCs w:val="0"/>
          <w:spacing w:val="-9"/>
        </w:rPr>
        <w:t xml:space="preserve"> 万元，政府采购工程支出 </w:t>
      </w:r>
      <w:r w:rsidRPr="00750EEF">
        <w:rPr>
          <w:rFonts w:ascii="仿宋_GB2312" w:eastAsia="仿宋_GB2312" w:hAnsi="仿宋" w:cs="仿宋" w:hint="eastAsia"/>
          <w:b w:val="0"/>
          <w:bCs w:val="0"/>
        </w:rPr>
        <w:t>22.6</w:t>
      </w:r>
      <w:r w:rsidRPr="00750EEF">
        <w:rPr>
          <w:rFonts w:ascii="仿宋_GB2312" w:eastAsia="仿宋_GB2312" w:hAnsi="仿宋" w:cs="仿宋" w:hint="eastAsia"/>
          <w:b w:val="0"/>
          <w:bCs w:val="0"/>
          <w:spacing w:val="-10"/>
        </w:rPr>
        <w:t xml:space="preserve"> 万元，政府</w:t>
      </w:r>
      <w:r w:rsidRPr="00750EEF">
        <w:rPr>
          <w:rFonts w:ascii="仿宋_GB2312" w:eastAsia="仿宋_GB2312" w:hAnsi="仿宋" w:cs="仿宋" w:hint="eastAsia"/>
          <w:b w:val="0"/>
          <w:bCs w:val="0"/>
        </w:rPr>
        <w:t>采购服务支出 134.42 万元。</w:t>
      </w:r>
    </w:p>
    <w:p w:rsidR="00F74A0A" w:rsidRDefault="00750EEF" w:rsidP="00750EEF">
      <w:pPr>
        <w:pStyle w:val="2"/>
        <w:snapToGrid w:val="0"/>
        <w:spacing w:line="600" w:lineRule="exact"/>
        <w:ind w:left="0" w:firstLineChars="200" w:firstLine="640"/>
        <w:rPr>
          <w:rFonts w:ascii="黑体" w:eastAsia="黑体" w:hAnsi="黑体" w:cs="黑体"/>
          <w:b w:val="0"/>
          <w:bCs w:val="0"/>
        </w:rPr>
      </w:pPr>
      <w:r>
        <w:rPr>
          <w:rFonts w:ascii="黑体" w:eastAsia="黑体" w:hAnsi="黑体" w:cs="黑体" w:hint="eastAsia"/>
          <w:b w:val="0"/>
          <w:bCs w:val="0"/>
        </w:rPr>
        <w:t>十二、国有资产占有情况说明</w:t>
      </w:r>
    </w:p>
    <w:p w:rsidR="00F74A0A" w:rsidRPr="00750EEF" w:rsidRDefault="00750EEF" w:rsidP="00750EEF">
      <w:pPr>
        <w:pStyle w:val="2"/>
        <w:snapToGrid w:val="0"/>
        <w:spacing w:line="600" w:lineRule="exact"/>
        <w:ind w:left="0" w:firstLineChars="200" w:firstLine="640"/>
        <w:rPr>
          <w:rFonts w:ascii="仿宋_GB2312" w:eastAsia="仿宋_GB2312" w:hAnsi="仿宋" w:cs="仿宋"/>
        </w:rPr>
      </w:pPr>
      <w:r w:rsidRPr="00750EEF">
        <w:rPr>
          <w:rFonts w:ascii="仿宋_GB2312" w:eastAsia="仿宋_GB2312" w:hAnsi="仿宋" w:cs="仿宋" w:hint="eastAsia"/>
          <w:b w:val="0"/>
          <w:bCs w:val="0"/>
        </w:rPr>
        <w:t>2018年期末，账面共有车辆 4 辆，其中：省级领导干部用车</w:t>
      </w:r>
      <w:r w:rsidRPr="00750EEF">
        <w:rPr>
          <w:rFonts w:ascii="仿宋_GB2312" w:eastAsia="仿宋_GB2312" w:hAnsi="仿宋" w:cs="仿宋" w:hint="eastAsia"/>
          <w:b w:val="0"/>
          <w:bCs w:val="0"/>
          <w:lang w:val="en-US"/>
        </w:rPr>
        <w:t>0国内、主要领导干部用车0辆、机要通信用车0辆、应急保障用车0辆、执法执勤用车0辆、特种专业技术用车0辆、离退休干部用车0辆、</w:t>
      </w:r>
      <w:r w:rsidRPr="00750EEF">
        <w:rPr>
          <w:rFonts w:ascii="仿宋_GB2312" w:eastAsia="仿宋_GB2312" w:hAnsi="仿宋" w:cs="仿宋" w:hint="eastAsia"/>
          <w:b w:val="0"/>
          <w:bCs w:val="0"/>
        </w:rPr>
        <w:t xml:space="preserve">其他用车 </w:t>
      </w:r>
      <w:r w:rsidRPr="00750EEF">
        <w:rPr>
          <w:rFonts w:ascii="仿宋_GB2312" w:eastAsia="仿宋_GB2312" w:hAnsi="仿宋" w:cs="仿宋" w:hint="eastAsia"/>
          <w:b w:val="0"/>
          <w:bCs w:val="0"/>
          <w:lang w:val="en-US"/>
        </w:rPr>
        <w:t>4</w:t>
      </w:r>
      <w:r w:rsidRPr="00750EEF">
        <w:rPr>
          <w:rFonts w:ascii="仿宋_GB2312" w:eastAsia="仿宋_GB2312" w:hAnsi="仿宋" w:cs="仿宋" w:hint="eastAsia"/>
          <w:b w:val="0"/>
          <w:bCs w:val="0"/>
        </w:rPr>
        <w:t xml:space="preserve"> 辆、单位价值 50 万元以上通用设备 0 台、单位价值</w:t>
      </w:r>
      <w:r w:rsidRPr="00750EEF">
        <w:rPr>
          <w:rFonts w:ascii="仿宋_GB2312" w:eastAsia="仿宋_GB2312" w:hAnsi="仿宋" w:cs="仿宋" w:hint="eastAsia"/>
          <w:b w:val="0"/>
          <w:bCs w:val="0"/>
          <w:lang w:val="en-US"/>
        </w:rPr>
        <w:t>100万元以上专用设备0台（套）</w:t>
      </w:r>
      <w:r w:rsidRPr="00750EEF">
        <w:rPr>
          <w:rFonts w:ascii="仿宋_GB2312" w:eastAsia="仿宋_GB2312" w:hAnsi="仿宋" w:cs="仿宋" w:hint="eastAsia"/>
          <w:b w:val="0"/>
          <w:bCs w:val="0"/>
        </w:rPr>
        <w:t>。</w:t>
      </w:r>
      <w:bookmarkStart w:id="3" w:name="专业性名词解"/>
      <w:bookmarkEnd w:id="3"/>
    </w:p>
    <w:p w:rsidR="00F74A0A" w:rsidRDefault="00F74A0A">
      <w:pPr>
        <w:pStyle w:val="2"/>
        <w:snapToGrid w:val="0"/>
        <w:spacing w:before="89" w:line="360" w:lineRule="auto"/>
        <w:ind w:left="0"/>
        <w:jc w:val="center"/>
        <w:rPr>
          <w:rFonts w:ascii="仿宋" w:eastAsia="仿宋" w:hAnsi="仿宋" w:cs="仿宋"/>
        </w:rPr>
      </w:pPr>
    </w:p>
    <w:p w:rsidR="00F74A0A" w:rsidRDefault="00F74A0A">
      <w:pPr>
        <w:pStyle w:val="2"/>
        <w:snapToGrid w:val="0"/>
        <w:spacing w:before="89" w:line="360" w:lineRule="auto"/>
        <w:ind w:left="0"/>
        <w:jc w:val="center"/>
        <w:rPr>
          <w:rFonts w:ascii="仿宋" w:eastAsia="仿宋" w:hAnsi="仿宋" w:cs="仿宋"/>
        </w:rPr>
      </w:pPr>
    </w:p>
    <w:p w:rsidR="00F74A0A" w:rsidRDefault="00F74A0A">
      <w:pPr>
        <w:pStyle w:val="2"/>
        <w:snapToGrid w:val="0"/>
        <w:spacing w:before="89" w:line="360" w:lineRule="auto"/>
        <w:ind w:left="0"/>
        <w:jc w:val="both"/>
        <w:rPr>
          <w:rFonts w:ascii="仿宋" w:eastAsia="仿宋" w:hAnsi="仿宋" w:cs="仿宋"/>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F74A0A">
      <w:pPr>
        <w:rPr>
          <w:rFonts w:ascii="仿宋" w:eastAsia="仿宋" w:hAnsi="仿宋" w:cs="仿宋"/>
          <w:sz w:val="32"/>
          <w:szCs w:val="32"/>
        </w:rPr>
      </w:pPr>
    </w:p>
    <w:p w:rsidR="00F74A0A" w:rsidRDefault="00750EEF">
      <w:pPr>
        <w:pStyle w:val="a4"/>
        <w:numPr>
          <w:ilvl w:val="0"/>
          <w:numId w:val="7"/>
        </w:numPr>
        <w:snapToGrid w:val="0"/>
        <w:spacing w:before="11" w:line="360" w:lineRule="auto"/>
        <w:ind w:left="0"/>
        <w:jc w:val="center"/>
        <w:rPr>
          <w:rFonts w:ascii="黑体" w:eastAsia="黑体" w:hAnsi="黑体" w:cs="黑体"/>
          <w:sz w:val="48"/>
          <w:szCs w:val="48"/>
        </w:rPr>
      </w:pPr>
      <w:r>
        <w:rPr>
          <w:rFonts w:ascii="黑体" w:eastAsia="黑体" w:hAnsi="黑体" w:cs="黑体" w:hint="eastAsia"/>
          <w:sz w:val="48"/>
          <w:szCs w:val="48"/>
        </w:rPr>
        <w:t xml:space="preserve"> 名词解释</w:t>
      </w:r>
    </w:p>
    <w:p w:rsidR="00F74A0A" w:rsidRDefault="00F74A0A">
      <w:pPr>
        <w:pStyle w:val="a4"/>
        <w:snapToGrid w:val="0"/>
        <w:spacing w:before="11" w:line="360" w:lineRule="auto"/>
        <w:ind w:left="0"/>
        <w:jc w:val="center"/>
        <w:rPr>
          <w:rFonts w:ascii="黑体" w:eastAsia="黑体" w:hAnsi="黑体" w:cs="黑体"/>
          <w:sz w:val="48"/>
          <w:szCs w:val="48"/>
        </w:rPr>
      </w:pPr>
    </w:p>
    <w:p w:rsidR="00F74A0A" w:rsidRDefault="00F74A0A">
      <w:pPr>
        <w:pStyle w:val="a4"/>
        <w:snapToGrid w:val="0"/>
        <w:spacing w:before="11" w:line="360" w:lineRule="auto"/>
        <w:ind w:left="0"/>
        <w:jc w:val="center"/>
        <w:rPr>
          <w:rFonts w:ascii="黑体" w:eastAsia="黑体" w:hAnsi="黑体" w:cs="黑体"/>
          <w:sz w:val="48"/>
          <w:szCs w:val="48"/>
        </w:rPr>
      </w:pPr>
    </w:p>
    <w:p w:rsidR="00F74A0A" w:rsidRDefault="00F74A0A">
      <w:pPr>
        <w:pStyle w:val="a4"/>
        <w:snapToGrid w:val="0"/>
        <w:spacing w:before="11" w:line="360" w:lineRule="auto"/>
        <w:ind w:left="0"/>
        <w:jc w:val="center"/>
        <w:rPr>
          <w:rFonts w:ascii="黑体" w:eastAsia="黑体" w:hAnsi="黑体" w:cs="黑体"/>
          <w:sz w:val="48"/>
          <w:szCs w:val="48"/>
        </w:rPr>
      </w:pPr>
    </w:p>
    <w:p w:rsidR="00F74A0A" w:rsidRDefault="00F74A0A">
      <w:pPr>
        <w:pStyle w:val="a4"/>
        <w:snapToGrid w:val="0"/>
        <w:spacing w:before="11" w:line="360" w:lineRule="auto"/>
        <w:ind w:left="0"/>
        <w:jc w:val="center"/>
        <w:rPr>
          <w:rFonts w:ascii="黑体" w:eastAsia="黑体" w:hAnsi="黑体" w:cs="黑体"/>
          <w:sz w:val="48"/>
          <w:szCs w:val="48"/>
        </w:rPr>
      </w:pPr>
    </w:p>
    <w:p w:rsidR="00FD35C5" w:rsidRDefault="00FD35C5">
      <w:pPr>
        <w:pStyle w:val="a4"/>
        <w:snapToGrid w:val="0"/>
        <w:spacing w:before="11" w:line="360" w:lineRule="auto"/>
        <w:ind w:left="0"/>
        <w:jc w:val="center"/>
        <w:rPr>
          <w:rFonts w:ascii="黑体" w:eastAsia="黑体" w:hAnsi="黑体" w:cs="黑体"/>
          <w:sz w:val="48"/>
          <w:szCs w:val="48"/>
        </w:rPr>
      </w:pPr>
    </w:p>
    <w:p w:rsidR="00FD35C5" w:rsidRDefault="00FD35C5">
      <w:pPr>
        <w:pStyle w:val="a4"/>
        <w:snapToGrid w:val="0"/>
        <w:spacing w:before="11" w:line="360" w:lineRule="auto"/>
        <w:ind w:left="0"/>
        <w:jc w:val="center"/>
        <w:rPr>
          <w:rFonts w:ascii="黑体" w:eastAsia="黑体" w:hAnsi="黑体" w:cs="黑体"/>
          <w:sz w:val="48"/>
          <w:szCs w:val="48"/>
        </w:rPr>
      </w:pPr>
    </w:p>
    <w:p w:rsidR="00FD35C5" w:rsidRDefault="00FD35C5">
      <w:pPr>
        <w:pStyle w:val="a4"/>
        <w:snapToGrid w:val="0"/>
        <w:spacing w:before="11" w:line="360" w:lineRule="auto"/>
        <w:ind w:left="0"/>
        <w:jc w:val="center"/>
        <w:rPr>
          <w:rFonts w:ascii="黑体" w:eastAsia="黑体" w:hAnsi="黑体" w:cs="黑体"/>
          <w:sz w:val="48"/>
          <w:szCs w:val="48"/>
        </w:rPr>
      </w:pPr>
    </w:p>
    <w:p w:rsidR="00F74A0A" w:rsidRDefault="00F74A0A">
      <w:pPr>
        <w:pStyle w:val="a4"/>
        <w:snapToGrid w:val="0"/>
        <w:spacing w:before="11" w:line="360" w:lineRule="auto"/>
        <w:ind w:left="0"/>
        <w:jc w:val="center"/>
        <w:rPr>
          <w:rFonts w:ascii="黑体" w:eastAsia="黑体" w:hAnsi="黑体" w:cs="黑体"/>
          <w:sz w:val="48"/>
          <w:szCs w:val="48"/>
        </w:rPr>
      </w:pP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一、财政拨款收入：指单位本年度从本级财政部门取得的财政拨款。</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二、其他收入：指单位取得的除上述“财政拨款收入”、“事业收入”、“经营收入”等以外的各项收入。</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三、一般公共服务（类）政府办公厅（室）及相关机构事务（款）行政运行（项）：指行政单位的基本支出。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四、一般公共服务（类）政府办公厅（室）及相关机构事务（款）一般行政管理服务（项）：指行政单位未单独设置项级科目的其他项目支出。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五、一般公共服务（类）党委办公厅（室）及相关机构事务（款）事业运行（项）：反映除为行政单位提供后勤服务的各类后勤服务中心等附属单位外的其他事业单位的基本 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六、医疗卫生与计划生育（类） 医疗保障（款）行政单位医疗（项）：反映财政部门集中安排的行政单位基本医疗保险缴费经费。</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七、医疗卫生与计划生育（类） 医疗保障（款）事业单位医疗（项）：反映财政部门集中安排的事业单位基本医疗保险缴费经费。</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八、资源勘探信息等支出（类）工业和信息产业监管（款） 其他工业和信息产业监管（项）：反映其他用于工业和信息产业监管方面的支出。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lastRenderedPageBreak/>
        <w:t>九、商业服务业等（类）其他商业服务等（款）其他商业服务业等（项）：反映其他商业服务业等支出中的其他支出。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十、金融支出（类）金融部门行政（款）行政运行（项）：反映行政单位（包括实行公务员管理的事业单位）的基本支出。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十一、金融支出（类）其他金融支出（款）其他金融支出： 反映其他用于金融方面的支出。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十二、住房保障支出（类）住房改革支出（款）住房公积金（项）：反映行政事业单位按人事部和财政部规定的基本工资和津贴补贴以及规定比例为职工缴纳的住房公积金。</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十三、住房保障支出（类）住房改革支出（款）提租补贴（项）：反映按房改政策规定的标准，行政事业单位向职工（含离退休人员）发放的租金补贴。</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十四、住房保障支出（类）住房改革支出（款）购房补贴（项）：反映按房改政策规定的标准，行政事业单位向符合条件职工（含离退休人员）发放的用于购买住房的补贴。</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十五、基本支出：指为保障机构正常运转、完成日常工作任务而发生的人员支出和公用支出。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十六、项目支出：指在基本支出之外为完成特定的行政任务或事业发展目标所发生的支出。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七、“三公”经费：指市级部门用一般公共预算财政拨款安排的因公出国（境）费、公务用车购置及运行费和公务接待费。其中，因公出国（境）费指单位公务出国（境）的住宿费、差旅费、伙食补助费、杂费、培训费等支出；公务用车购置及运行费指单位</w:t>
      </w:r>
      <w:r w:rsidRPr="00FD35C5">
        <w:rPr>
          <w:rFonts w:ascii="仿宋_GB2312" w:eastAsia="仿宋_GB2312" w:hAnsi="仿宋" w:cs="仿宋" w:hint="eastAsia"/>
        </w:rPr>
        <w:lastRenderedPageBreak/>
        <w:t>公务用车购置费及租用费、燃料费、维修费、过路过桥费、保险费、安全奖励费用等支出；公务接待费指单位按规定开支的各类公务接待（含外宾接待）支出。</w:t>
      </w:r>
    </w:p>
    <w:p w:rsidR="00F74A0A" w:rsidRPr="00FD35C5" w:rsidRDefault="00750EEF" w:rsidP="00FD35C5">
      <w:pPr>
        <w:pStyle w:val="a4"/>
        <w:snapToGrid w:val="0"/>
        <w:spacing w:line="600" w:lineRule="exact"/>
        <w:ind w:left="0" w:firstLineChars="200" w:firstLine="640"/>
        <w:jc w:val="both"/>
        <w:rPr>
          <w:rFonts w:ascii="仿宋_GB2312" w:eastAsia="仿宋_GB2312" w:hAnsi="仿宋" w:cs="仿宋"/>
        </w:rPr>
      </w:pPr>
      <w:r w:rsidRPr="00FD35C5">
        <w:rPr>
          <w:rFonts w:ascii="仿宋_GB2312" w:eastAsia="仿宋_GB2312" w:hAnsi="仿宋" w:cs="仿宋" w:hint="eastAsia"/>
        </w:rPr>
        <w:t>十八、机关运行经费：指为保障行政单位（含参照公务员法管理的事业单位）运行用于购买货物和服务的各项资金，包括办公费、印刷费、差旅费、会议费、日常维修费、专用材料及办公用房水电费、物业管理费、公务用车运行维护费等。</w:t>
      </w: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1" w:line="360" w:lineRule="auto"/>
        <w:ind w:left="0" w:firstLineChars="200" w:firstLine="640"/>
        <w:jc w:val="both"/>
        <w:rPr>
          <w:rFonts w:ascii="仿宋" w:eastAsia="仿宋" w:hAnsi="仿宋" w:cs="仿宋"/>
        </w:rPr>
      </w:pPr>
    </w:p>
    <w:p w:rsidR="00F74A0A" w:rsidRDefault="00F74A0A">
      <w:pPr>
        <w:pStyle w:val="a4"/>
        <w:snapToGrid w:val="0"/>
        <w:spacing w:before="1" w:line="360" w:lineRule="auto"/>
        <w:ind w:left="0" w:right="1060"/>
        <w:rPr>
          <w:rFonts w:ascii="仿宋" w:eastAsia="仿宋" w:hAnsi="仿宋" w:cs="仿宋"/>
          <w:w w:val="95"/>
        </w:rPr>
      </w:pPr>
    </w:p>
    <w:p w:rsidR="00F74A0A" w:rsidRDefault="00F74A0A">
      <w:pPr>
        <w:pStyle w:val="a4"/>
        <w:snapToGrid w:val="0"/>
        <w:spacing w:before="1" w:line="360" w:lineRule="auto"/>
        <w:ind w:left="0" w:right="1060"/>
        <w:rPr>
          <w:rFonts w:ascii="仿宋" w:eastAsia="仿宋" w:hAnsi="仿宋" w:cs="仿宋"/>
          <w:w w:val="95"/>
        </w:rPr>
      </w:pPr>
    </w:p>
    <w:p w:rsidR="00F74A0A" w:rsidRDefault="00F74A0A">
      <w:pPr>
        <w:pStyle w:val="a4"/>
        <w:snapToGrid w:val="0"/>
        <w:spacing w:before="1" w:line="360" w:lineRule="auto"/>
        <w:ind w:left="0" w:right="1060"/>
        <w:rPr>
          <w:rFonts w:ascii="仿宋" w:eastAsia="仿宋" w:hAnsi="仿宋" w:cs="仿宋"/>
          <w:w w:val="95"/>
        </w:rPr>
      </w:pPr>
    </w:p>
    <w:p w:rsidR="00F74A0A" w:rsidRDefault="00F74A0A">
      <w:pPr>
        <w:pStyle w:val="a4"/>
        <w:snapToGrid w:val="0"/>
        <w:spacing w:before="1" w:line="360" w:lineRule="auto"/>
        <w:ind w:left="0" w:right="1060"/>
        <w:rPr>
          <w:rFonts w:ascii="仿宋" w:eastAsia="仿宋" w:hAnsi="仿宋" w:cs="仿宋"/>
          <w:w w:val="95"/>
        </w:rPr>
      </w:pPr>
    </w:p>
    <w:p w:rsidR="00F74A0A" w:rsidRDefault="00F74A0A">
      <w:pPr>
        <w:pStyle w:val="a4"/>
        <w:snapToGrid w:val="0"/>
        <w:spacing w:before="1" w:line="360" w:lineRule="auto"/>
        <w:ind w:left="0" w:right="1060" w:firstLineChars="200" w:firstLine="608"/>
        <w:rPr>
          <w:rFonts w:ascii="仿宋" w:eastAsia="仿宋" w:hAnsi="仿宋" w:cs="仿宋"/>
          <w:w w:val="95"/>
        </w:rPr>
      </w:pPr>
    </w:p>
    <w:sectPr w:rsidR="00F74A0A" w:rsidSect="00F74A0A">
      <w:pgSz w:w="11910" w:h="16840"/>
      <w:pgMar w:top="1502" w:right="1247" w:bottom="1417" w:left="1247" w:header="720" w:footer="72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1023" w:rsidRDefault="00211023">
      <w:r>
        <w:separator/>
      </w:r>
    </w:p>
  </w:endnote>
  <w:endnote w:type="continuationSeparator" w:id="1">
    <w:p w:rsidR="00211023" w:rsidRDefault="002110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楷体">
    <w:altName w:val="Arial Unicode MS"/>
    <w:charset w:val="86"/>
    <w:family w:val="auto"/>
    <w:pitch w:val="default"/>
    <w:sig w:usb0="00000000" w:usb1="38CF7CFA" w:usb2="00000016" w:usb3="00000000" w:csb0="00040001" w:csb1="00000000"/>
  </w:font>
  <w:font w:name="宋体">
    <w:altName w:val="SimSun"/>
    <w:panose1 w:val="02010600030101010101"/>
    <w:charset w:val="86"/>
    <w:family w:val="auto"/>
    <w:pitch w:val="variable"/>
    <w:sig w:usb0="00000003" w:usb1="080E0000" w:usb2="00000010" w:usb3="00000000" w:csb0="00040001" w:csb1="00000000"/>
  </w:font>
  <w:font w:name="Microsoft JhengHei">
    <w:altName w:val="Arial Unicode MS"/>
    <w:charset w:val="88"/>
    <w:family w:val="swiss"/>
    <w:pitch w:val="default"/>
    <w:sig w:usb0="00000000" w:usb1="28AF4000" w:usb2="00000016" w:usb3="00000000" w:csb0="00100009"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altName w:val="Arial Unicode MS"/>
    <w:charset w:val="86"/>
    <w:family w:val="auto"/>
    <w:pitch w:val="default"/>
    <w:sig w:usb0="00000000"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EEF" w:rsidRDefault="006C4A1F">
    <w:pPr>
      <w:pStyle w:val="a5"/>
    </w:pPr>
    <w:r w:rsidRPr="006C4A1F">
      <w:pict>
        <v:shapetype id="_x0000_t202" coordsize="21600,21600" o:spt="202" path="m,l,21600r21600,l21600,xe">
          <v:stroke joinstyle="miter"/>
          <v:path gradientshapeok="t" o:connecttype="rect"/>
        </v:shapetype>
        <v:shape id="文本框 2055" o:spid="_x0000_s2049" type="#_x0000_t202" style="position:absolute;margin-left:0;margin-top:0;width:2in;height:2in;z-index:25166336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qS7jWzAEAAJ0DAAAOAAAAAAAAAAEAIAAAAB4BAABkcnMvZTJv&#10;RG9jLnhtbFBLBQYAAAAABgAGAFkBAABcBQAAAAA=&#10;" filled="f" stroked="f">
          <v:textbox style="mso-fit-shape-to-text:t" inset="0,0,0,0">
            <w:txbxContent>
              <w:p w:rsidR="00750EEF" w:rsidRDefault="006C4A1F">
                <w:pPr>
                  <w:snapToGrid w:val="0"/>
                  <w:rPr>
                    <w:sz w:val="18"/>
                  </w:rPr>
                </w:pPr>
                <w:r>
                  <w:rPr>
                    <w:rFonts w:hint="eastAsia"/>
                    <w:sz w:val="18"/>
                  </w:rPr>
                  <w:fldChar w:fldCharType="begin"/>
                </w:r>
                <w:r w:rsidR="00750EEF">
                  <w:rPr>
                    <w:rFonts w:hint="eastAsia"/>
                    <w:sz w:val="18"/>
                  </w:rPr>
                  <w:instrText xml:space="preserve"> PAGE  \* MERGEFORMAT </w:instrText>
                </w:r>
                <w:r>
                  <w:rPr>
                    <w:rFonts w:hint="eastAsia"/>
                    <w:sz w:val="18"/>
                  </w:rPr>
                  <w:fldChar w:fldCharType="separate"/>
                </w:r>
                <w:r w:rsidR="00750EEF">
                  <w:rPr>
                    <w:sz w:val="18"/>
                  </w:rPr>
                  <w:t>- 10 -</w:t>
                </w:r>
                <w:r>
                  <w:rPr>
                    <w:rFonts w:hint="eastAsia"/>
                    <w:sz w:val="1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EEF" w:rsidRDefault="006C4A1F">
    <w:pPr>
      <w:pStyle w:val="a5"/>
    </w:pPr>
    <w:r w:rsidRPr="006C4A1F">
      <w:pict>
        <v:shapetype id="_x0000_t202" coordsize="21600,21600" o:spt="202" path="m,l,21600r21600,l21600,xe">
          <v:stroke joinstyle="miter"/>
          <v:path gradientshapeok="t" o:connecttype="rect"/>
        </v:shapetype>
        <v:shape id="文本框 2054" o:spid="_x0000_s2051" type="#_x0000_t202" style="position:absolute;margin-left:0;margin-top:0;width:2in;height:2in;z-index:251662336;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gRiNgzAEAAJ0DAAAOAAAAAAAAAAEAIAAAAB4BAABkcnMvZTJv&#10;RG9jLnhtbFBLBQYAAAAABgAGAFkBAABcBQAAAAA=&#10;" filled="f" stroked="f">
          <v:textbox style="mso-fit-shape-to-text:t" inset="0,0,0,0">
            <w:txbxContent>
              <w:p w:rsidR="00750EEF" w:rsidRDefault="006C4A1F">
                <w:pPr>
                  <w:snapToGrid w:val="0"/>
                  <w:rPr>
                    <w:sz w:val="18"/>
                  </w:rPr>
                </w:pPr>
                <w:r>
                  <w:rPr>
                    <w:rFonts w:hint="eastAsia"/>
                    <w:sz w:val="18"/>
                  </w:rPr>
                  <w:fldChar w:fldCharType="begin"/>
                </w:r>
                <w:r w:rsidR="00750EEF">
                  <w:rPr>
                    <w:rFonts w:hint="eastAsia"/>
                    <w:sz w:val="18"/>
                  </w:rPr>
                  <w:instrText xml:space="preserve"> PAGE  \* MERGEFORMAT </w:instrText>
                </w:r>
                <w:r>
                  <w:rPr>
                    <w:rFonts w:hint="eastAsia"/>
                    <w:sz w:val="18"/>
                  </w:rPr>
                  <w:fldChar w:fldCharType="separate"/>
                </w:r>
                <w:r w:rsidR="00AC141A">
                  <w:rPr>
                    <w:noProof/>
                    <w:sz w:val="18"/>
                  </w:rPr>
                  <w:t>22</w:t>
                </w:r>
                <w:r>
                  <w:rPr>
                    <w:rFonts w:hint="eastAsia"/>
                    <w:sz w:val="18"/>
                  </w:rPr>
                  <w:fldChar w:fldCharType="end"/>
                </w:r>
              </w:p>
            </w:txbxContent>
          </v:textbox>
          <w10:wrap anchorx="margin"/>
        </v:shape>
      </w:pict>
    </w:r>
    <w:r w:rsidRPr="006C4A1F">
      <w:pict>
        <v:shape id="文本框 2" o:spid="_x0000_s2050" type="#_x0000_t202" style="position:absolute;margin-left:0;margin-top:0;width:2in;height:2in;z-index:251661312;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JKJxMkBAACa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dvKHHc4sTPP3+cf/05//5O&#10;ll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ckonEyQEAAJoDAAAOAAAAAAAAAAEAIAAAAB4BAABkcnMvZTJvRG9j&#10;LnhtbFBLBQYAAAAABgAGAFkBAABZBQAAAAA=&#10;" filled="f" stroked="f">
          <v:textbox style="mso-fit-shape-to-text:t" inset="0,0,0,0">
            <w:txbxContent>
              <w:p w:rsidR="00750EEF" w:rsidRDefault="00750EEF"/>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1023" w:rsidRDefault="00211023">
      <w:r>
        <w:separator/>
      </w:r>
    </w:p>
  </w:footnote>
  <w:footnote w:type="continuationSeparator" w:id="1">
    <w:p w:rsidR="00211023" w:rsidRDefault="002110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A467E9F"/>
    <w:multiLevelType w:val="singleLevel"/>
    <w:tmpl w:val="CA467E9F"/>
    <w:lvl w:ilvl="0">
      <w:start w:val="1"/>
      <w:numFmt w:val="decimal"/>
      <w:suff w:val="nothing"/>
      <w:lvlText w:val="%1．"/>
      <w:lvlJc w:val="left"/>
      <w:pPr>
        <w:ind w:left="20"/>
      </w:pPr>
      <w:rPr>
        <w:rFonts w:hint="default"/>
        <w:b/>
        <w:bCs/>
      </w:rPr>
    </w:lvl>
  </w:abstractNum>
  <w:abstractNum w:abstractNumId="1">
    <w:nsid w:val="ED37251E"/>
    <w:multiLevelType w:val="singleLevel"/>
    <w:tmpl w:val="ED37251E"/>
    <w:lvl w:ilvl="0">
      <w:start w:val="1"/>
      <w:numFmt w:val="decimal"/>
      <w:suff w:val="nothing"/>
      <w:lvlText w:val="%1、"/>
      <w:lvlJc w:val="left"/>
    </w:lvl>
  </w:abstractNum>
  <w:abstractNum w:abstractNumId="2">
    <w:nsid w:val="093F8660"/>
    <w:multiLevelType w:val="singleLevel"/>
    <w:tmpl w:val="093F8660"/>
    <w:lvl w:ilvl="0">
      <w:start w:val="8"/>
      <w:numFmt w:val="chineseCounting"/>
      <w:suff w:val="nothing"/>
      <w:lvlText w:val="%1、"/>
      <w:lvlJc w:val="left"/>
      <w:rPr>
        <w:rFonts w:hint="eastAsia"/>
      </w:rPr>
    </w:lvl>
  </w:abstractNum>
  <w:abstractNum w:abstractNumId="3">
    <w:nsid w:val="19C8077C"/>
    <w:multiLevelType w:val="singleLevel"/>
    <w:tmpl w:val="19C8077C"/>
    <w:lvl w:ilvl="0">
      <w:start w:val="6"/>
      <w:numFmt w:val="decimal"/>
      <w:suff w:val="nothing"/>
      <w:lvlText w:val="%1、"/>
      <w:lvlJc w:val="left"/>
    </w:lvl>
  </w:abstractNum>
  <w:abstractNum w:abstractNumId="4">
    <w:nsid w:val="48D0B3EB"/>
    <w:multiLevelType w:val="singleLevel"/>
    <w:tmpl w:val="48D0B3EB"/>
    <w:lvl w:ilvl="0">
      <w:start w:val="2"/>
      <w:numFmt w:val="chineseCounting"/>
      <w:suff w:val="nothing"/>
      <w:lvlText w:val="（%1）"/>
      <w:lvlJc w:val="left"/>
      <w:rPr>
        <w:rFonts w:ascii="楷体" w:eastAsia="楷体" w:hAnsi="楷体" w:cs="楷体" w:hint="eastAsia"/>
      </w:rPr>
    </w:lvl>
  </w:abstractNum>
  <w:abstractNum w:abstractNumId="5">
    <w:nsid w:val="4E9455A8"/>
    <w:multiLevelType w:val="singleLevel"/>
    <w:tmpl w:val="4E9455A8"/>
    <w:lvl w:ilvl="0">
      <w:start w:val="4"/>
      <w:numFmt w:val="chineseCounting"/>
      <w:suff w:val="space"/>
      <w:lvlText w:val="第%1部分"/>
      <w:lvlJc w:val="left"/>
      <w:rPr>
        <w:rFonts w:hint="eastAsia"/>
      </w:rPr>
    </w:lvl>
  </w:abstractNum>
  <w:abstractNum w:abstractNumId="6">
    <w:nsid w:val="5971BE17"/>
    <w:multiLevelType w:val="singleLevel"/>
    <w:tmpl w:val="5971BE17"/>
    <w:lvl w:ilvl="0">
      <w:start w:val="1"/>
      <w:numFmt w:val="chineseCounting"/>
      <w:suff w:val="nothing"/>
      <w:lvlText w:val="%1、"/>
      <w:lvlJc w:val="left"/>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0"/>
  <w:displayVerticalDrawingGridEvery w:val="2"/>
  <w:characterSpacingControl w:val="doNotCompress"/>
  <w:hdrShapeDefaults>
    <o:shapedefaults v:ext="edit" spidmax="8194" fillcolor="white">
      <v:fill color="white"/>
    </o:shapedefaults>
    <o:shapelayout v:ext="edit">
      <o:idmap v:ext="edit" data="2"/>
    </o:shapelayout>
  </w:hdrShapeDefaults>
  <w:footnotePr>
    <w:footnote w:id="0"/>
    <w:footnote w:id="1"/>
  </w:footnotePr>
  <w:endnotePr>
    <w:endnote w:id="0"/>
    <w:endnote w:id="1"/>
  </w:endnotePr>
  <w:compat>
    <w:balanceSingleByteDoubleByteWidth/>
    <w:ulTrailSpace/>
    <w:doNotExpandShiftReturn/>
    <w:adjustLineHeightInTable/>
    <w:useFELayout/>
  </w:compat>
  <w:rsids>
    <w:rsidRoot w:val="00F74A0A"/>
    <w:rsid w:val="00211023"/>
    <w:rsid w:val="0030251E"/>
    <w:rsid w:val="003E774A"/>
    <w:rsid w:val="006C4A1F"/>
    <w:rsid w:val="00750EEF"/>
    <w:rsid w:val="00AC141A"/>
    <w:rsid w:val="00D575DF"/>
    <w:rsid w:val="00F74A0A"/>
    <w:rsid w:val="00F751A3"/>
    <w:rsid w:val="00FD35C5"/>
    <w:rsid w:val="02814B0F"/>
    <w:rsid w:val="05D15298"/>
    <w:rsid w:val="101B19B6"/>
    <w:rsid w:val="126A772D"/>
    <w:rsid w:val="205032A5"/>
    <w:rsid w:val="23AB3221"/>
    <w:rsid w:val="2A7A7382"/>
    <w:rsid w:val="357C2F97"/>
    <w:rsid w:val="38E012FD"/>
    <w:rsid w:val="434A3802"/>
    <w:rsid w:val="45957E41"/>
    <w:rsid w:val="51F4597D"/>
    <w:rsid w:val="5543767A"/>
    <w:rsid w:val="576C172C"/>
    <w:rsid w:val="5BB54FCA"/>
    <w:rsid w:val="76220D94"/>
    <w:rsid w:val="7E6558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lsdException w:name="caption" w:semiHidden="1" w:unhideWhenUsed="1" w:qFormat="1"/>
    <w:lsdException w:name="Title" w:uiPriority="10"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74A0A"/>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rsid w:val="00F74A0A"/>
    <w:pPr>
      <w:spacing w:before="11"/>
      <w:ind w:right="17"/>
      <w:jc w:val="center"/>
      <w:outlineLvl w:val="0"/>
    </w:pPr>
    <w:rPr>
      <w:sz w:val="44"/>
      <w:szCs w:val="44"/>
    </w:rPr>
  </w:style>
  <w:style w:type="paragraph" w:styleId="2">
    <w:name w:val="heading 2"/>
    <w:basedOn w:val="a"/>
    <w:next w:val="a"/>
    <w:uiPriority w:val="1"/>
    <w:qFormat/>
    <w:rsid w:val="00F74A0A"/>
    <w:pPr>
      <w:ind w:left="1680"/>
      <w:outlineLvl w:val="1"/>
    </w:pPr>
    <w:rPr>
      <w:rFonts w:ascii="Microsoft JhengHei" w:eastAsia="Microsoft JhengHei" w:hAnsi="Microsoft JhengHei" w:cs="Microsoft JhengHe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rsid w:val="00F74A0A"/>
  </w:style>
  <w:style w:type="paragraph" w:styleId="a4">
    <w:name w:val="Body Text"/>
    <w:basedOn w:val="a"/>
    <w:uiPriority w:val="1"/>
    <w:qFormat/>
    <w:rsid w:val="00F74A0A"/>
    <w:pPr>
      <w:ind w:left="1040"/>
    </w:pPr>
    <w:rPr>
      <w:sz w:val="32"/>
      <w:szCs w:val="32"/>
    </w:rPr>
  </w:style>
  <w:style w:type="paragraph" w:styleId="a5">
    <w:name w:val="footer"/>
    <w:basedOn w:val="a"/>
    <w:rsid w:val="00F74A0A"/>
    <w:pPr>
      <w:tabs>
        <w:tab w:val="center" w:pos="4153"/>
        <w:tab w:val="right" w:pos="8306"/>
      </w:tabs>
      <w:snapToGrid w:val="0"/>
    </w:pPr>
    <w:rPr>
      <w:sz w:val="18"/>
    </w:rPr>
  </w:style>
  <w:style w:type="paragraph" w:styleId="a6">
    <w:name w:val="header"/>
    <w:basedOn w:val="a"/>
    <w:rsid w:val="00F74A0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7">
    <w:name w:val="Title"/>
    <w:basedOn w:val="a"/>
    <w:next w:val="a"/>
    <w:uiPriority w:val="10"/>
    <w:qFormat/>
    <w:rsid w:val="00F74A0A"/>
    <w:pPr>
      <w:spacing w:before="240" w:after="60"/>
      <w:jc w:val="center"/>
      <w:outlineLvl w:val="0"/>
    </w:pPr>
    <w:rPr>
      <w:rFonts w:ascii="Cambria" w:hAnsi="Cambria" w:cs="Times New Roman"/>
      <w:b/>
      <w:bCs/>
      <w:sz w:val="32"/>
      <w:szCs w:val="32"/>
    </w:rPr>
  </w:style>
  <w:style w:type="table" w:customStyle="1" w:styleId="TableNormal">
    <w:name w:val="Table Normal"/>
    <w:uiPriority w:val="2"/>
    <w:semiHidden/>
    <w:unhideWhenUsed/>
    <w:qFormat/>
    <w:rsid w:val="00F74A0A"/>
    <w:tblPr>
      <w:tblCellMar>
        <w:top w:w="0" w:type="dxa"/>
        <w:left w:w="0" w:type="dxa"/>
        <w:bottom w:w="0" w:type="dxa"/>
        <w:right w:w="0" w:type="dxa"/>
      </w:tblCellMar>
    </w:tblPr>
  </w:style>
  <w:style w:type="paragraph" w:styleId="a8">
    <w:name w:val="List Paragraph"/>
    <w:basedOn w:val="a"/>
    <w:uiPriority w:val="1"/>
    <w:qFormat/>
    <w:rsid w:val="00F74A0A"/>
    <w:pPr>
      <w:ind w:left="2002" w:hanging="323"/>
    </w:pPr>
  </w:style>
  <w:style w:type="paragraph" w:customStyle="1" w:styleId="TableParagraph">
    <w:name w:val="Table Paragraph"/>
    <w:basedOn w:val="a"/>
    <w:uiPriority w:val="1"/>
    <w:qFormat/>
    <w:rsid w:val="00F74A0A"/>
  </w:style>
  <w:style w:type="paragraph" w:styleId="a9">
    <w:name w:val="Balloon Text"/>
    <w:basedOn w:val="a"/>
    <w:link w:val="Char"/>
    <w:rsid w:val="00750EEF"/>
    <w:rPr>
      <w:sz w:val="18"/>
      <w:szCs w:val="18"/>
    </w:rPr>
  </w:style>
  <w:style w:type="character" w:customStyle="1" w:styleId="Char">
    <w:name w:val="批注框文本 Char"/>
    <w:basedOn w:val="a0"/>
    <w:link w:val="a9"/>
    <w:rsid w:val="00750EEF"/>
    <w:rPr>
      <w:rFonts w:ascii="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29</Pages>
  <Words>1065</Words>
  <Characters>6075</Characters>
  <Application>Microsoft Office Word</Application>
  <DocSecurity>0</DocSecurity>
  <Lines>50</Lines>
  <Paragraphs>14</Paragraphs>
  <ScaleCrop>false</ScaleCrop>
  <Company>微软公司</Company>
  <LinksUpToDate>false</LinksUpToDate>
  <CharactersWithSpaces>7126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西工区财政局</dc:title>
  <dc:creator>xggk</dc:creator>
  <cp:lastModifiedBy>微软用户</cp:lastModifiedBy>
  <cp:revision>4</cp:revision>
  <dcterms:created xsi:type="dcterms:W3CDTF">2021-06-04T03:39:00Z</dcterms:created>
  <dcterms:modified xsi:type="dcterms:W3CDTF">2021-06-05T14:59:00Z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2020-03-02T00:00:00Z</vt:filetime>
  </property>
  <property fmtid="{D5CDD505-2E9C-101B-9397-08002B2CF9AE}" pid="3" name="Creator">
    <vt:lpwstr>WPS 文字</vt:lpwstr>
  </property>
  <property fmtid="{D5CDD505-2E9C-101B-9397-08002B2CF9AE}" pid="4" name="LastSaved">
    <vt:filetime>2021-06-04T00:00:00Z</vt:filetime>
  </property>
  <property fmtid="{D5CDD505-2E9C-101B-9397-08002B2CF9AE}" pid="5" name="KSOProductBuildVer">
    <vt:lpwstr>2052-11.1.0.10495</vt:lpwstr>
  </property>
  <property fmtid="{D5CDD505-2E9C-101B-9397-08002B2CF9AE}" pid="6" name="ICV">
    <vt:lpwstr>5EB8AC127D354B13AA75105819121189</vt:lpwstr>
  </property>
</Properties>
</file>